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591" w:rsidRPr="00136A50" w:rsidRDefault="00793591" w:rsidP="00793591">
      <w:pPr>
        <w:pStyle w:val="NormalWeb"/>
        <w:spacing w:before="0" w:beforeAutospacing="0" w:after="0" w:afterAutospacing="0"/>
        <w:rPr>
          <w:rFonts w:asciiTheme="minorHAnsi" w:hAnsiTheme="minorHAnsi"/>
          <w:b/>
          <w:bCs/>
          <w:sz w:val="20"/>
          <w:szCs w:val="20"/>
        </w:rPr>
      </w:pPr>
      <w:r w:rsidRPr="00136A50">
        <w:rPr>
          <w:rFonts w:asciiTheme="minorHAnsi" w:hAnsiTheme="minorHAnsi"/>
          <w:b/>
          <w:bCs/>
          <w:sz w:val="20"/>
          <w:szCs w:val="20"/>
        </w:rPr>
        <w:t>Abstracts of Key Studies</w:t>
      </w:r>
    </w:p>
    <w:p w:rsidR="00793591" w:rsidRPr="00136A50" w:rsidRDefault="00793591" w:rsidP="00793591">
      <w:pPr>
        <w:pStyle w:val="NormalWeb"/>
        <w:spacing w:before="0" w:beforeAutospacing="0" w:after="0" w:afterAutospacing="0"/>
        <w:rPr>
          <w:rFonts w:asciiTheme="minorHAnsi" w:hAnsiTheme="minorHAnsi"/>
          <w:b/>
          <w:bCs/>
          <w:sz w:val="20"/>
          <w:szCs w:val="20"/>
        </w:rPr>
      </w:pPr>
    </w:p>
    <w:p w:rsidR="00793591" w:rsidRPr="00136A50" w:rsidRDefault="00793591" w:rsidP="00793591">
      <w:pPr>
        <w:pStyle w:val="NormalWeb"/>
        <w:spacing w:before="0" w:beforeAutospacing="0" w:after="0" w:afterAutospacing="0"/>
        <w:rPr>
          <w:rFonts w:asciiTheme="minorHAnsi" w:hAnsiTheme="minorHAnsi" w:cs="Segoe UI"/>
          <w:b/>
          <w:bCs/>
          <w:sz w:val="20"/>
          <w:szCs w:val="20"/>
        </w:rPr>
      </w:pPr>
      <w:proofErr w:type="spellStart"/>
      <w:r w:rsidRPr="00136A50">
        <w:rPr>
          <w:rFonts w:asciiTheme="minorHAnsi" w:hAnsiTheme="minorHAnsi"/>
          <w:b/>
          <w:bCs/>
          <w:sz w:val="20"/>
          <w:szCs w:val="20"/>
        </w:rPr>
        <w:t>Cadorna</w:t>
      </w:r>
      <w:proofErr w:type="spellEnd"/>
      <w:r w:rsidRPr="00136A50">
        <w:rPr>
          <w:rFonts w:asciiTheme="minorHAnsi" w:hAnsiTheme="minorHAnsi"/>
          <w:b/>
          <w:bCs/>
          <w:sz w:val="20"/>
          <w:szCs w:val="20"/>
        </w:rPr>
        <w:t>-Carlos J et al. Randomised controlled study of fractional doses of inactivated poliovirus vaccine administered intradermally with a needle in the Philippines. International Journal of Infectious Diseases 2012; 16(2):e110-e116</w:t>
      </w:r>
    </w:p>
    <w:p w:rsidR="00793591" w:rsidRPr="00136A50" w:rsidRDefault="00793591" w:rsidP="00793591">
      <w:pPr>
        <w:pStyle w:val="Heading4"/>
        <w:shd w:val="clear" w:color="auto" w:fill="FFFFFF"/>
        <w:spacing w:before="0" w:line="270" w:lineRule="atLeast"/>
        <w:ind w:right="62"/>
        <w:rPr>
          <w:rFonts w:asciiTheme="minorHAnsi" w:hAnsiTheme="minorHAnsi"/>
          <w:b w:val="0"/>
          <w:bCs w:val="0"/>
          <w:color w:val="auto"/>
          <w:sz w:val="20"/>
          <w:szCs w:val="20"/>
        </w:rPr>
      </w:pPr>
      <w:r w:rsidRPr="00136A50">
        <w:rPr>
          <w:rFonts w:asciiTheme="minorHAnsi" w:hAnsiTheme="minorHAnsi"/>
          <w:b w:val="0"/>
          <w:bCs w:val="0"/>
          <w:color w:val="auto"/>
          <w:sz w:val="20"/>
          <w:szCs w:val="20"/>
        </w:rPr>
        <w:t xml:space="preserve"> </w:t>
      </w:r>
    </w:p>
    <w:p w:rsidR="00793591" w:rsidRPr="00136A50" w:rsidRDefault="00793591" w:rsidP="00793591">
      <w:pPr>
        <w:pStyle w:val="Heading4"/>
        <w:shd w:val="clear" w:color="auto" w:fill="FFFFFF"/>
        <w:spacing w:before="0" w:line="270" w:lineRule="atLeast"/>
        <w:ind w:right="62"/>
        <w:rPr>
          <w:rFonts w:asciiTheme="minorHAnsi" w:hAnsiTheme="minorHAnsi" w:cs="Arial"/>
          <w:b w:val="0"/>
          <w:bCs w:val="0"/>
          <w:i w:val="0"/>
          <w:iCs w:val="0"/>
          <w:caps/>
          <w:color w:val="auto"/>
          <w:sz w:val="20"/>
          <w:szCs w:val="20"/>
        </w:rPr>
      </w:pPr>
      <w:r w:rsidRPr="00136A50">
        <w:rPr>
          <w:rFonts w:asciiTheme="minorHAnsi" w:hAnsiTheme="minorHAnsi" w:cs="Arial"/>
          <w:i w:val="0"/>
          <w:iCs w:val="0"/>
          <w:color w:val="auto"/>
          <w:sz w:val="20"/>
          <w:szCs w:val="20"/>
        </w:rPr>
        <w:t>Objective:</w:t>
      </w:r>
      <w:r w:rsidRPr="00136A50">
        <w:rPr>
          <w:rFonts w:asciiTheme="minorHAnsi" w:hAnsiTheme="minorHAnsi" w:cs="Arial"/>
          <w:b w:val="0"/>
          <w:bCs w:val="0"/>
          <w:i w:val="0"/>
          <w:iCs w:val="0"/>
          <w:color w:val="auto"/>
          <w:sz w:val="20"/>
          <w:szCs w:val="20"/>
        </w:rPr>
        <w:t xml:space="preserve"> Comparison of a fractional inactivated poliovirus vaccine (IPV) dose administered intradermally (ID) to a full dose administered intramuscularly (IM). </w:t>
      </w:r>
      <w:r w:rsidRPr="00136A50">
        <w:rPr>
          <w:rFonts w:asciiTheme="minorHAnsi" w:hAnsiTheme="minorHAnsi" w:cs="Arial"/>
          <w:i w:val="0"/>
          <w:iCs w:val="0"/>
          <w:color w:val="auto"/>
          <w:sz w:val="20"/>
          <w:szCs w:val="20"/>
        </w:rPr>
        <w:t>Methods:</w:t>
      </w:r>
      <w:r w:rsidRPr="00136A50">
        <w:rPr>
          <w:rFonts w:asciiTheme="minorHAnsi" w:hAnsiTheme="minorHAnsi" w:cs="Arial"/>
          <w:b w:val="0"/>
          <w:bCs w:val="0"/>
          <w:i w:val="0"/>
          <w:iCs w:val="0"/>
          <w:color w:val="auto"/>
          <w:sz w:val="20"/>
          <w:szCs w:val="20"/>
        </w:rPr>
        <w:t xml:space="preserve"> Healthy Filipino infants were randomized to receive IPV as either a fractional (1/5th) dose ID by needle injection or a full dose IM at 6, 10, and 14 weeks and a booster at 15-18 months of age. Pre- and post-vaccination anti-polio 1, 2, and 3 titers were estimated. Adverse events were monitored throughout the study. </w:t>
      </w:r>
      <w:r w:rsidRPr="00136A50">
        <w:rPr>
          <w:rFonts w:asciiTheme="minorHAnsi" w:hAnsiTheme="minorHAnsi" w:cs="Arial"/>
          <w:i w:val="0"/>
          <w:iCs w:val="0"/>
          <w:color w:val="auto"/>
          <w:sz w:val="20"/>
          <w:szCs w:val="20"/>
        </w:rPr>
        <w:t>Results:</w:t>
      </w:r>
      <w:r w:rsidRPr="00136A50">
        <w:rPr>
          <w:rFonts w:asciiTheme="minorHAnsi" w:hAnsiTheme="minorHAnsi" w:cs="Arial"/>
          <w:b w:val="0"/>
          <w:bCs w:val="0"/>
          <w:i w:val="0"/>
          <w:iCs w:val="0"/>
          <w:color w:val="auto"/>
          <w:sz w:val="20"/>
          <w:szCs w:val="20"/>
        </w:rPr>
        <w:t xml:space="preserve"> Following primary series vaccination, anti-polio 1, 2, and 3 titers were ≥8 (1/</w:t>
      </w:r>
      <w:proofErr w:type="spellStart"/>
      <w:r w:rsidRPr="00136A50">
        <w:rPr>
          <w:rFonts w:asciiTheme="minorHAnsi" w:hAnsiTheme="minorHAnsi" w:cs="Arial"/>
          <w:b w:val="0"/>
          <w:bCs w:val="0"/>
          <w:i w:val="0"/>
          <w:iCs w:val="0"/>
          <w:color w:val="auto"/>
          <w:sz w:val="20"/>
          <w:szCs w:val="20"/>
        </w:rPr>
        <w:t>dil</w:t>
      </w:r>
      <w:proofErr w:type="spellEnd"/>
      <w:r w:rsidRPr="00136A50">
        <w:rPr>
          <w:rFonts w:asciiTheme="minorHAnsi" w:hAnsiTheme="minorHAnsi" w:cs="Arial"/>
          <w:b w:val="0"/>
          <w:bCs w:val="0"/>
          <w:i w:val="0"/>
          <w:iCs w:val="0"/>
          <w:color w:val="auto"/>
          <w:sz w:val="20"/>
          <w:szCs w:val="20"/>
        </w:rPr>
        <w:t xml:space="preserve">) in 99-100% of participants, and the ID route was non-inferior to the IM route. Depending on the study group, antibody persistence was detected in 83-100% of participants, and the booster dose resulted in a strong anamnestic response in all groups. The incidence of adverse events in each group was similar, except for injection-site erythema (higher in the ID group). </w:t>
      </w:r>
      <w:r w:rsidRPr="00136A50">
        <w:rPr>
          <w:rFonts w:asciiTheme="minorHAnsi" w:hAnsiTheme="minorHAnsi" w:cs="Arial"/>
          <w:i w:val="0"/>
          <w:iCs w:val="0"/>
          <w:color w:val="auto"/>
          <w:sz w:val="20"/>
          <w:szCs w:val="20"/>
        </w:rPr>
        <w:t>Conclusions:</w:t>
      </w:r>
      <w:r w:rsidRPr="00136A50">
        <w:rPr>
          <w:rFonts w:asciiTheme="minorHAnsi" w:hAnsiTheme="minorHAnsi" w:cs="Arial"/>
          <w:b w:val="0"/>
          <w:bCs w:val="0"/>
          <w:i w:val="0"/>
          <w:iCs w:val="0"/>
          <w:color w:val="auto"/>
          <w:sz w:val="20"/>
          <w:szCs w:val="20"/>
        </w:rPr>
        <w:t xml:space="preserve"> Primary series and booster vaccination of a fractional IPV dose administered by the ID route was highly immunogenic and well tolerated. These data confirm the medical validity of using fractional ID doses of IPV. The programmatic feasibility of implementing affordable mass vaccination programs based on this delivery mode has yet to be established.</w:t>
      </w:r>
    </w:p>
    <w:p w:rsidR="00793591" w:rsidRPr="00136A50" w:rsidRDefault="00793591" w:rsidP="00793591">
      <w:pPr>
        <w:rPr>
          <w:sz w:val="20"/>
          <w:szCs w:val="20"/>
        </w:rPr>
      </w:pPr>
    </w:p>
    <w:tbl>
      <w:tblPr>
        <w:tblStyle w:val="TableGrid"/>
        <w:tblW w:w="0" w:type="auto"/>
        <w:tblInd w:w="-176" w:type="dxa"/>
        <w:tblLayout w:type="fixed"/>
        <w:tblLook w:val="04A0" w:firstRow="1" w:lastRow="0" w:firstColumn="1" w:lastColumn="0" w:noHBand="0" w:noVBand="1"/>
      </w:tblPr>
      <w:tblGrid>
        <w:gridCol w:w="1560"/>
        <w:gridCol w:w="1062"/>
        <w:gridCol w:w="966"/>
        <w:gridCol w:w="976"/>
        <w:gridCol w:w="967"/>
        <w:gridCol w:w="976"/>
        <w:gridCol w:w="967"/>
        <w:gridCol w:w="977"/>
        <w:gridCol w:w="967"/>
      </w:tblGrid>
      <w:tr w:rsidR="00793591" w:rsidRPr="00136A50" w:rsidTr="00E32BD2">
        <w:tc>
          <w:tcPr>
            <w:tcW w:w="1560" w:type="dxa"/>
            <w:vMerge w:val="restart"/>
          </w:tcPr>
          <w:p w:rsidR="00793591" w:rsidRPr="00136A50" w:rsidRDefault="00793591" w:rsidP="00E32BD2">
            <w:pPr>
              <w:rPr>
                <w:sz w:val="20"/>
                <w:szCs w:val="20"/>
              </w:rPr>
            </w:pPr>
          </w:p>
        </w:tc>
        <w:tc>
          <w:tcPr>
            <w:tcW w:w="3971" w:type="dxa"/>
            <w:gridSpan w:val="4"/>
          </w:tcPr>
          <w:p w:rsidR="00793591" w:rsidRPr="00136A50" w:rsidRDefault="00793591" w:rsidP="00E32BD2">
            <w:pPr>
              <w:rPr>
                <w:sz w:val="20"/>
                <w:szCs w:val="20"/>
              </w:rPr>
            </w:pPr>
            <w:r w:rsidRPr="00136A50">
              <w:rPr>
                <w:sz w:val="20"/>
                <w:szCs w:val="20"/>
              </w:rPr>
              <w:t>ID fractional IPV</w:t>
            </w:r>
          </w:p>
        </w:tc>
        <w:tc>
          <w:tcPr>
            <w:tcW w:w="3887" w:type="dxa"/>
            <w:gridSpan w:val="4"/>
          </w:tcPr>
          <w:p w:rsidR="00793591" w:rsidRPr="00136A50" w:rsidRDefault="00793591" w:rsidP="00E32BD2">
            <w:pPr>
              <w:rPr>
                <w:sz w:val="20"/>
                <w:szCs w:val="20"/>
              </w:rPr>
            </w:pPr>
            <w:r w:rsidRPr="00136A50">
              <w:rPr>
                <w:sz w:val="20"/>
                <w:szCs w:val="20"/>
              </w:rPr>
              <w:t>IM IPV</w:t>
            </w:r>
          </w:p>
        </w:tc>
      </w:tr>
      <w:tr w:rsidR="00793591" w:rsidRPr="00136A50" w:rsidTr="00E32BD2">
        <w:tc>
          <w:tcPr>
            <w:tcW w:w="1560" w:type="dxa"/>
            <w:vMerge/>
          </w:tcPr>
          <w:p w:rsidR="00793591" w:rsidRPr="00136A50" w:rsidRDefault="00793591" w:rsidP="00E32BD2">
            <w:pPr>
              <w:rPr>
                <w:sz w:val="20"/>
                <w:szCs w:val="20"/>
              </w:rPr>
            </w:pPr>
          </w:p>
        </w:tc>
        <w:tc>
          <w:tcPr>
            <w:tcW w:w="2028" w:type="dxa"/>
            <w:gridSpan w:val="2"/>
          </w:tcPr>
          <w:p w:rsidR="00793591" w:rsidRPr="00136A50" w:rsidRDefault="00793591" w:rsidP="00E32BD2">
            <w:pPr>
              <w:rPr>
                <w:sz w:val="20"/>
                <w:szCs w:val="20"/>
              </w:rPr>
            </w:pPr>
            <w:r w:rsidRPr="00136A50">
              <w:rPr>
                <w:sz w:val="20"/>
                <w:szCs w:val="20"/>
              </w:rPr>
              <w:t>Primary Series</w:t>
            </w:r>
          </w:p>
        </w:tc>
        <w:tc>
          <w:tcPr>
            <w:tcW w:w="1943" w:type="dxa"/>
            <w:gridSpan w:val="2"/>
          </w:tcPr>
          <w:p w:rsidR="00793591" w:rsidRPr="00136A50" w:rsidRDefault="00793591" w:rsidP="00E32BD2">
            <w:pPr>
              <w:rPr>
                <w:sz w:val="20"/>
                <w:szCs w:val="20"/>
              </w:rPr>
            </w:pPr>
            <w:r w:rsidRPr="00136A50">
              <w:rPr>
                <w:sz w:val="20"/>
                <w:szCs w:val="20"/>
              </w:rPr>
              <w:t>Booster Series</w:t>
            </w:r>
          </w:p>
        </w:tc>
        <w:tc>
          <w:tcPr>
            <w:tcW w:w="1943" w:type="dxa"/>
            <w:gridSpan w:val="2"/>
          </w:tcPr>
          <w:p w:rsidR="00793591" w:rsidRPr="00136A50" w:rsidRDefault="00793591" w:rsidP="00E32BD2">
            <w:pPr>
              <w:rPr>
                <w:sz w:val="20"/>
                <w:szCs w:val="20"/>
              </w:rPr>
            </w:pPr>
            <w:r w:rsidRPr="00136A50">
              <w:rPr>
                <w:sz w:val="20"/>
                <w:szCs w:val="20"/>
              </w:rPr>
              <w:t>Primary Series</w:t>
            </w:r>
          </w:p>
        </w:tc>
        <w:tc>
          <w:tcPr>
            <w:tcW w:w="1944" w:type="dxa"/>
            <w:gridSpan w:val="2"/>
          </w:tcPr>
          <w:p w:rsidR="00793591" w:rsidRPr="00136A50" w:rsidRDefault="00793591" w:rsidP="00E32BD2">
            <w:pPr>
              <w:rPr>
                <w:sz w:val="20"/>
                <w:szCs w:val="20"/>
              </w:rPr>
            </w:pPr>
            <w:r w:rsidRPr="00136A50">
              <w:rPr>
                <w:sz w:val="20"/>
                <w:szCs w:val="20"/>
              </w:rPr>
              <w:t>Booster Series</w:t>
            </w:r>
          </w:p>
        </w:tc>
      </w:tr>
      <w:tr w:rsidR="00793591" w:rsidRPr="00136A50" w:rsidTr="00E32BD2">
        <w:tc>
          <w:tcPr>
            <w:tcW w:w="1560" w:type="dxa"/>
          </w:tcPr>
          <w:p w:rsidR="00793591" w:rsidRPr="00136A50" w:rsidRDefault="00793591" w:rsidP="00E32BD2">
            <w:pPr>
              <w:rPr>
                <w:sz w:val="20"/>
                <w:szCs w:val="20"/>
              </w:rPr>
            </w:pPr>
          </w:p>
        </w:tc>
        <w:tc>
          <w:tcPr>
            <w:tcW w:w="1062" w:type="dxa"/>
          </w:tcPr>
          <w:p w:rsidR="00793591" w:rsidRPr="00136A50" w:rsidRDefault="00793591" w:rsidP="00E32BD2">
            <w:pPr>
              <w:rPr>
                <w:sz w:val="20"/>
                <w:szCs w:val="20"/>
              </w:rPr>
            </w:pPr>
            <w:r w:rsidRPr="00136A50">
              <w:rPr>
                <w:sz w:val="20"/>
                <w:szCs w:val="20"/>
              </w:rPr>
              <w:t>Pre-primary</w:t>
            </w:r>
          </w:p>
        </w:tc>
        <w:tc>
          <w:tcPr>
            <w:tcW w:w="966" w:type="dxa"/>
          </w:tcPr>
          <w:p w:rsidR="00793591" w:rsidRPr="00136A50" w:rsidRDefault="00793591" w:rsidP="00E32BD2">
            <w:pPr>
              <w:rPr>
                <w:sz w:val="20"/>
                <w:szCs w:val="20"/>
              </w:rPr>
            </w:pPr>
            <w:r w:rsidRPr="00136A50">
              <w:rPr>
                <w:sz w:val="20"/>
                <w:szCs w:val="20"/>
              </w:rPr>
              <w:t>Post-Primary</w:t>
            </w:r>
          </w:p>
        </w:tc>
        <w:tc>
          <w:tcPr>
            <w:tcW w:w="976" w:type="dxa"/>
          </w:tcPr>
          <w:p w:rsidR="00793591" w:rsidRPr="00136A50" w:rsidRDefault="00793591" w:rsidP="00E32BD2">
            <w:pPr>
              <w:rPr>
                <w:sz w:val="20"/>
                <w:szCs w:val="20"/>
              </w:rPr>
            </w:pPr>
            <w:r w:rsidRPr="00136A50">
              <w:rPr>
                <w:sz w:val="20"/>
                <w:szCs w:val="20"/>
              </w:rPr>
              <w:t>Pre-booster</w:t>
            </w:r>
          </w:p>
        </w:tc>
        <w:tc>
          <w:tcPr>
            <w:tcW w:w="967" w:type="dxa"/>
          </w:tcPr>
          <w:p w:rsidR="00793591" w:rsidRPr="00136A50" w:rsidRDefault="00793591" w:rsidP="00E32BD2">
            <w:pPr>
              <w:rPr>
                <w:sz w:val="20"/>
                <w:szCs w:val="20"/>
              </w:rPr>
            </w:pPr>
            <w:r w:rsidRPr="00136A50">
              <w:rPr>
                <w:sz w:val="20"/>
                <w:szCs w:val="20"/>
              </w:rPr>
              <w:t>Post-booster</w:t>
            </w:r>
          </w:p>
        </w:tc>
        <w:tc>
          <w:tcPr>
            <w:tcW w:w="976" w:type="dxa"/>
          </w:tcPr>
          <w:p w:rsidR="00793591" w:rsidRPr="00136A50" w:rsidRDefault="00793591" w:rsidP="00E32BD2">
            <w:pPr>
              <w:rPr>
                <w:sz w:val="20"/>
                <w:szCs w:val="20"/>
              </w:rPr>
            </w:pPr>
            <w:r w:rsidRPr="00136A50">
              <w:rPr>
                <w:sz w:val="20"/>
                <w:szCs w:val="20"/>
              </w:rPr>
              <w:t>Pre-primary</w:t>
            </w:r>
          </w:p>
        </w:tc>
        <w:tc>
          <w:tcPr>
            <w:tcW w:w="967" w:type="dxa"/>
          </w:tcPr>
          <w:p w:rsidR="00793591" w:rsidRPr="00136A50" w:rsidRDefault="00793591" w:rsidP="00E32BD2">
            <w:pPr>
              <w:rPr>
                <w:sz w:val="20"/>
                <w:szCs w:val="20"/>
              </w:rPr>
            </w:pPr>
            <w:r w:rsidRPr="00136A50">
              <w:rPr>
                <w:sz w:val="20"/>
                <w:szCs w:val="20"/>
              </w:rPr>
              <w:t>Post-Primary</w:t>
            </w:r>
          </w:p>
        </w:tc>
        <w:tc>
          <w:tcPr>
            <w:tcW w:w="977" w:type="dxa"/>
          </w:tcPr>
          <w:p w:rsidR="00793591" w:rsidRPr="00136A50" w:rsidRDefault="00793591" w:rsidP="00E32BD2">
            <w:pPr>
              <w:rPr>
                <w:sz w:val="20"/>
                <w:szCs w:val="20"/>
              </w:rPr>
            </w:pPr>
            <w:r w:rsidRPr="00136A50">
              <w:rPr>
                <w:sz w:val="20"/>
                <w:szCs w:val="20"/>
              </w:rPr>
              <w:t>Pre-booster</w:t>
            </w:r>
          </w:p>
        </w:tc>
        <w:tc>
          <w:tcPr>
            <w:tcW w:w="967" w:type="dxa"/>
          </w:tcPr>
          <w:p w:rsidR="00793591" w:rsidRPr="00136A50" w:rsidRDefault="00793591" w:rsidP="00E32BD2">
            <w:pPr>
              <w:rPr>
                <w:sz w:val="20"/>
                <w:szCs w:val="20"/>
              </w:rPr>
            </w:pPr>
            <w:r w:rsidRPr="00136A50">
              <w:rPr>
                <w:sz w:val="20"/>
                <w:szCs w:val="20"/>
              </w:rPr>
              <w:t>Post-booster</w:t>
            </w:r>
          </w:p>
        </w:tc>
      </w:tr>
      <w:tr w:rsidR="00793591" w:rsidRPr="00136A50" w:rsidTr="00E32BD2">
        <w:tc>
          <w:tcPr>
            <w:tcW w:w="9418" w:type="dxa"/>
            <w:gridSpan w:val="9"/>
          </w:tcPr>
          <w:p w:rsidR="00793591" w:rsidRPr="00136A50" w:rsidRDefault="00793591" w:rsidP="00E32BD2">
            <w:pPr>
              <w:rPr>
                <w:rFonts w:cs="Arial"/>
                <w:b/>
                <w:bCs/>
                <w:sz w:val="20"/>
                <w:szCs w:val="20"/>
                <w:shd w:val="clear" w:color="auto" w:fill="FFFFFF"/>
              </w:rPr>
            </w:pPr>
            <w:r w:rsidRPr="00136A50">
              <w:rPr>
                <w:rFonts w:cs="Arial"/>
                <w:b/>
                <w:bCs/>
                <w:sz w:val="20"/>
                <w:szCs w:val="20"/>
                <w:shd w:val="clear" w:color="auto" w:fill="FFFFFF"/>
              </w:rPr>
              <w:t>Serotype 1</w:t>
            </w:r>
          </w:p>
        </w:tc>
      </w:tr>
      <w:tr w:rsidR="00793591" w:rsidRPr="00136A50" w:rsidTr="00E32BD2">
        <w:tc>
          <w:tcPr>
            <w:tcW w:w="1560" w:type="dxa"/>
          </w:tcPr>
          <w:p w:rsidR="00793591" w:rsidRPr="00136A50" w:rsidRDefault="00793591" w:rsidP="00E32BD2">
            <w:pPr>
              <w:rPr>
                <w:sz w:val="20"/>
                <w:szCs w:val="20"/>
              </w:rPr>
            </w:pPr>
            <w:r w:rsidRPr="00136A50">
              <w:rPr>
                <w:sz w:val="20"/>
                <w:szCs w:val="20"/>
              </w:rPr>
              <w:t>Seroconversion, % (95% CI)</w:t>
            </w:r>
          </w:p>
        </w:tc>
        <w:tc>
          <w:tcPr>
            <w:tcW w:w="2028" w:type="dxa"/>
            <w:gridSpan w:val="2"/>
          </w:tcPr>
          <w:p w:rsidR="00793591" w:rsidRPr="00136A50" w:rsidRDefault="00793591" w:rsidP="00E32BD2">
            <w:pPr>
              <w:rPr>
                <w:sz w:val="20"/>
                <w:szCs w:val="20"/>
              </w:rPr>
            </w:pPr>
            <w:r w:rsidRPr="00136A50">
              <w:rPr>
                <w:sz w:val="20"/>
                <w:szCs w:val="20"/>
              </w:rPr>
              <w:t>99.1 (99.0, 100.0)</w:t>
            </w:r>
          </w:p>
        </w:tc>
        <w:tc>
          <w:tcPr>
            <w:tcW w:w="1943" w:type="dxa"/>
            <w:gridSpan w:val="2"/>
          </w:tcPr>
          <w:p w:rsidR="00793591" w:rsidRPr="00136A50" w:rsidRDefault="00793591" w:rsidP="00E32BD2">
            <w:pPr>
              <w:rPr>
                <w:sz w:val="20"/>
                <w:szCs w:val="20"/>
              </w:rPr>
            </w:pPr>
            <w:r w:rsidRPr="00136A50">
              <w:rPr>
                <w:sz w:val="20"/>
                <w:szCs w:val="20"/>
              </w:rPr>
              <w:t>95.5 (</w:t>
            </w:r>
            <w:r w:rsidRPr="00136A50">
              <w:rPr>
                <w:rFonts w:cs="Arial"/>
                <w:sz w:val="20"/>
                <w:szCs w:val="20"/>
                <w:shd w:val="clear" w:color="auto" w:fill="FFFFFF"/>
              </w:rPr>
              <w:t>89.8, 98.5)</w:t>
            </w:r>
          </w:p>
        </w:tc>
        <w:tc>
          <w:tcPr>
            <w:tcW w:w="1943" w:type="dxa"/>
            <w:gridSpan w:val="2"/>
          </w:tcPr>
          <w:p w:rsidR="00793591" w:rsidRPr="00136A50" w:rsidRDefault="00793591" w:rsidP="00E32BD2">
            <w:pPr>
              <w:rPr>
                <w:sz w:val="20"/>
                <w:szCs w:val="20"/>
              </w:rPr>
            </w:pPr>
            <w:r w:rsidRPr="00136A50">
              <w:rPr>
                <w:rFonts w:cs="Arial"/>
                <w:sz w:val="20"/>
                <w:szCs w:val="20"/>
                <w:shd w:val="clear" w:color="auto" w:fill="FFFFFF"/>
              </w:rPr>
              <w:t>98.2</w:t>
            </w:r>
            <w:r w:rsidRPr="00136A50">
              <w:rPr>
                <w:rFonts w:cs="Arial"/>
                <w:sz w:val="20"/>
                <w:szCs w:val="20"/>
                <w:bdr w:val="none" w:sz="0" w:space="0" w:color="auto" w:frame="1"/>
                <w:vertAlign w:val="superscript"/>
              </w:rPr>
              <w:t xml:space="preserve"> </w:t>
            </w:r>
            <w:r w:rsidRPr="00136A50">
              <w:rPr>
                <w:rFonts w:cs="Arial"/>
                <w:sz w:val="20"/>
                <w:szCs w:val="20"/>
                <w:shd w:val="clear" w:color="auto" w:fill="FFFFFF"/>
              </w:rPr>
              <w:t>(93.8, 99.8)</w:t>
            </w:r>
          </w:p>
        </w:tc>
        <w:tc>
          <w:tcPr>
            <w:tcW w:w="1944" w:type="dxa"/>
            <w:gridSpan w:val="2"/>
          </w:tcPr>
          <w:p w:rsidR="00793591" w:rsidRPr="00136A50" w:rsidRDefault="00793591" w:rsidP="00E32BD2">
            <w:pPr>
              <w:rPr>
                <w:sz w:val="20"/>
                <w:szCs w:val="20"/>
              </w:rPr>
            </w:pPr>
            <w:r w:rsidRPr="00136A50">
              <w:rPr>
                <w:rFonts w:cs="Arial"/>
                <w:sz w:val="20"/>
                <w:szCs w:val="20"/>
                <w:shd w:val="clear" w:color="auto" w:fill="FFFFFF"/>
              </w:rPr>
              <w:t>96.4 (91.0, 99.0)</w:t>
            </w:r>
          </w:p>
        </w:tc>
      </w:tr>
      <w:tr w:rsidR="00793591" w:rsidRPr="00136A50" w:rsidTr="00E32BD2">
        <w:tc>
          <w:tcPr>
            <w:tcW w:w="1560" w:type="dxa"/>
          </w:tcPr>
          <w:p w:rsidR="00793591" w:rsidRPr="00136A50" w:rsidRDefault="00793591" w:rsidP="00E32BD2">
            <w:pPr>
              <w:rPr>
                <w:sz w:val="20"/>
                <w:szCs w:val="20"/>
              </w:rPr>
            </w:pPr>
            <w:r w:rsidRPr="00136A50">
              <w:rPr>
                <w:sz w:val="20"/>
                <w:szCs w:val="20"/>
              </w:rPr>
              <w:t>Geometric Mean Titres, (95% CI)</w:t>
            </w:r>
          </w:p>
        </w:tc>
        <w:tc>
          <w:tcPr>
            <w:tcW w:w="1062" w:type="dxa"/>
          </w:tcPr>
          <w:p w:rsidR="00793591" w:rsidRPr="00136A50" w:rsidRDefault="00793591" w:rsidP="00E32BD2">
            <w:pPr>
              <w:rPr>
                <w:sz w:val="20"/>
                <w:szCs w:val="20"/>
              </w:rPr>
            </w:pPr>
            <w:r w:rsidRPr="00136A50">
              <w:rPr>
                <w:rFonts w:cs="Arial"/>
                <w:sz w:val="20"/>
                <w:szCs w:val="20"/>
                <w:shd w:val="clear" w:color="auto" w:fill="FFFFFF"/>
              </w:rPr>
              <w:t>10.4 (8.0, 13.4)</w:t>
            </w:r>
          </w:p>
        </w:tc>
        <w:tc>
          <w:tcPr>
            <w:tcW w:w="966" w:type="dxa"/>
          </w:tcPr>
          <w:p w:rsidR="00793591" w:rsidRPr="00136A50" w:rsidRDefault="00793591" w:rsidP="00E32BD2">
            <w:pPr>
              <w:rPr>
                <w:sz w:val="20"/>
                <w:szCs w:val="20"/>
              </w:rPr>
            </w:pPr>
            <w:r w:rsidRPr="00136A50">
              <w:rPr>
                <w:rFonts w:cs="Arial"/>
                <w:sz w:val="20"/>
                <w:szCs w:val="20"/>
                <w:shd w:val="clear" w:color="auto" w:fill="FFFFFF"/>
              </w:rPr>
              <w:t>221 (188, 259)</w:t>
            </w:r>
          </w:p>
        </w:tc>
        <w:tc>
          <w:tcPr>
            <w:tcW w:w="976" w:type="dxa"/>
          </w:tcPr>
          <w:p w:rsidR="00793591" w:rsidRPr="00136A50" w:rsidRDefault="00793591" w:rsidP="00E32BD2">
            <w:pPr>
              <w:rPr>
                <w:sz w:val="20"/>
                <w:szCs w:val="20"/>
              </w:rPr>
            </w:pPr>
            <w:r w:rsidRPr="00136A50">
              <w:rPr>
                <w:rFonts w:cs="Arial"/>
                <w:sz w:val="20"/>
                <w:szCs w:val="20"/>
                <w:shd w:val="clear" w:color="auto" w:fill="FFFFFF"/>
              </w:rPr>
              <w:t>48.2 (38.7, 59.9)</w:t>
            </w:r>
          </w:p>
        </w:tc>
        <w:tc>
          <w:tcPr>
            <w:tcW w:w="967" w:type="dxa"/>
          </w:tcPr>
          <w:p w:rsidR="00793591" w:rsidRPr="00136A50" w:rsidRDefault="00793591" w:rsidP="00E32BD2">
            <w:pPr>
              <w:rPr>
                <w:sz w:val="20"/>
                <w:szCs w:val="20"/>
              </w:rPr>
            </w:pPr>
            <w:r w:rsidRPr="00136A50">
              <w:rPr>
                <w:rFonts w:cs="Arial"/>
                <w:sz w:val="20"/>
                <w:szCs w:val="20"/>
                <w:shd w:val="clear" w:color="auto" w:fill="FFFFFF"/>
              </w:rPr>
              <w:t>2833 (2392, 3356)</w:t>
            </w:r>
          </w:p>
        </w:tc>
        <w:tc>
          <w:tcPr>
            <w:tcW w:w="976" w:type="dxa"/>
          </w:tcPr>
          <w:p w:rsidR="00793591" w:rsidRPr="00136A50" w:rsidRDefault="00793591" w:rsidP="00E32BD2">
            <w:pPr>
              <w:rPr>
                <w:sz w:val="20"/>
                <w:szCs w:val="20"/>
              </w:rPr>
            </w:pPr>
            <w:r w:rsidRPr="00136A50">
              <w:rPr>
                <w:rFonts w:cs="Arial"/>
                <w:sz w:val="20"/>
                <w:szCs w:val="20"/>
                <w:shd w:val="clear" w:color="auto" w:fill="FFFFFF"/>
              </w:rPr>
              <w:t>11.7 (8.9, 15.4)</w:t>
            </w:r>
          </w:p>
        </w:tc>
        <w:tc>
          <w:tcPr>
            <w:tcW w:w="967" w:type="dxa"/>
          </w:tcPr>
          <w:p w:rsidR="00793591" w:rsidRPr="00136A50" w:rsidRDefault="00793591" w:rsidP="00E32BD2">
            <w:pPr>
              <w:rPr>
                <w:sz w:val="20"/>
                <w:szCs w:val="20"/>
              </w:rPr>
            </w:pPr>
            <w:r w:rsidRPr="00136A50">
              <w:rPr>
                <w:rFonts w:cs="Arial"/>
                <w:sz w:val="20"/>
                <w:szCs w:val="20"/>
                <w:shd w:val="clear" w:color="auto" w:fill="FFFFFF"/>
              </w:rPr>
              <w:t>585 (482, 710)</w:t>
            </w:r>
          </w:p>
        </w:tc>
        <w:tc>
          <w:tcPr>
            <w:tcW w:w="977" w:type="dxa"/>
          </w:tcPr>
          <w:p w:rsidR="00793591" w:rsidRPr="00136A50" w:rsidRDefault="00793591" w:rsidP="00E32BD2">
            <w:pPr>
              <w:rPr>
                <w:sz w:val="20"/>
                <w:szCs w:val="20"/>
              </w:rPr>
            </w:pPr>
            <w:r w:rsidRPr="00136A50">
              <w:rPr>
                <w:rFonts w:cs="Arial"/>
                <w:sz w:val="20"/>
                <w:szCs w:val="20"/>
                <w:shd w:val="clear" w:color="auto" w:fill="FFFFFF"/>
              </w:rPr>
              <w:t>109.8 (84.3, 143.2)</w:t>
            </w:r>
          </w:p>
        </w:tc>
        <w:tc>
          <w:tcPr>
            <w:tcW w:w="967" w:type="dxa"/>
          </w:tcPr>
          <w:p w:rsidR="00793591" w:rsidRPr="00136A50" w:rsidRDefault="00793591" w:rsidP="00E32BD2">
            <w:pPr>
              <w:rPr>
                <w:sz w:val="20"/>
                <w:szCs w:val="20"/>
              </w:rPr>
            </w:pPr>
            <w:r w:rsidRPr="00136A50">
              <w:rPr>
                <w:rFonts w:cs="Arial"/>
                <w:sz w:val="20"/>
                <w:szCs w:val="20"/>
                <w:shd w:val="clear" w:color="auto" w:fill="FFFFFF"/>
              </w:rPr>
              <w:t>6666 (5613, 7916)</w:t>
            </w:r>
          </w:p>
        </w:tc>
      </w:tr>
      <w:tr w:rsidR="00793591" w:rsidRPr="00136A50" w:rsidTr="00E32BD2">
        <w:tc>
          <w:tcPr>
            <w:tcW w:w="9418" w:type="dxa"/>
            <w:gridSpan w:val="9"/>
          </w:tcPr>
          <w:p w:rsidR="00793591" w:rsidRPr="00136A50" w:rsidRDefault="00793591" w:rsidP="00E32BD2">
            <w:pPr>
              <w:rPr>
                <w:b/>
                <w:bCs/>
                <w:sz w:val="20"/>
                <w:szCs w:val="20"/>
              </w:rPr>
            </w:pPr>
            <w:r w:rsidRPr="00136A50">
              <w:rPr>
                <w:b/>
                <w:bCs/>
                <w:sz w:val="20"/>
                <w:szCs w:val="20"/>
              </w:rPr>
              <w:t>Serotype 2</w:t>
            </w:r>
          </w:p>
        </w:tc>
      </w:tr>
      <w:tr w:rsidR="00793591" w:rsidRPr="00136A50" w:rsidTr="00E32BD2">
        <w:tc>
          <w:tcPr>
            <w:tcW w:w="1560" w:type="dxa"/>
          </w:tcPr>
          <w:p w:rsidR="00793591" w:rsidRPr="00136A50" w:rsidRDefault="00793591" w:rsidP="00E32BD2">
            <w:pPr>
              <w:rPr>
                <w:sz w:val="20"/>
                <w:szCs w:val="20"/>
              </w:rPr>
            </w:pPr>
            <w:r w:rsidRPr="00136A50">
              <w:rPr>
                <w:sz w:val="20"/>
                <w:szCs w:val="20"/>
              </w:rPr>
              <w:t>Seroconversion, % (95% CI)</w:t>
            </w:r>
          </w:p>
        </w:tc>
        <w:tc>
          <w:tcPr>
            <w:tcW w:w="2028" w:type="dxa"/>
            <w:gridSpan w:val="2"/>
          </w:tcPr>
          <w:p w:rsidR="00793591" w:rsidRPr="00136A50" w:rsidRDefault="00793591" w:rsidP="00E32BD2">
            <w:pPr>
              <w:spacing w:line="289" w:lineRule="atLeast"/>
              <w:rPr>
                <w:rFonts w:cs="Arial"/>
                <w:sz w:val="20"/>
                <w:szCs w:val="20"/>
              </w:rPr>
            </w:pPr>
            <w:r w:rsidRPr="00136A50">
              <w:rPr>
                <w:rFonts w:cs="Arial"/>
                <w:sz w:val="20"/>
                <w:szCs w:val="20"/>
                <w:highlight w:val="yellow"/>
              </w:rPr>
              <w:t>94.5</w:t>
            </w:r>
            <w:r w:rsidRPr="00136A50">
              <w:rPr>
                <w:rStyle w:val="apple-converted-space"/>
                <w:rFonts w:cs="Arial"/>
                <w:sz w:val="20"/>
                <w:szCs w:val="20"/>
                <w:highlight w:val="yellow"/>
              </w:rPr>
              <w:t> </w:t>
            </w:r>
            <w:r w:rsidRPr="00136A50">
              <w:rPr>
                <w:rFonts w:cs="Arial"/>
                <w:sz w:val="20"/>
                <w:szCs w:val="20"/>
                <w:highlight w:val="yellow"/>
              </w:rPr>
              <w:t>(88.4, 98.0)</w:t>
            </w:r>
          </w:p>
        </w:tc>
        <w:tc>
          <w:tcPr>
            <w:tcW w:w="1943" w:type="dxa"/>
            <w:gridSpan w:val="2"/>
          </w:tcPr>
          <w:p w:rsidR="00793591" w:rsidRPr="00136A50" w:rsidRDefault="00793591" w:rsidP="00E32BD2">
            <w:pPr>
              <w:spacing w:line="289" w:lineRule="atLeast"/>
              <w:rPr>
                <w:rFonts w:cs="Arial"/>
                <w:sz w:val="20"/>
                <w:szCs w:val="20"/>
              </w:rPr>
            </w:pPr>
            <w:r w:rsidRPr="00136A50">
              <w:rPr>
                <w:rFonts w:cs="Arial"/>
                <w:sz w:val="20"/>
                <w:szCs w:val="20"/>
              </w:rPr>
              <w:t>83.8 (75.6, 90.1)</w:t>
            </w:r>
          </w:p>
        </w:tc>
        <w:tc>
          <w:tcPr>
            <w:tcW w:w="1943" w:type="dxa"/>
            <w:gridSpan w:val="2"/>
          </w:tcPr>
          <w:p w:rsidR="00793591" w:rsidRPr="00136A50" w:rsidRDefault="00793591" w:rsidP="00E32BD2">
            <w:pPr>
              <w:spacing w:line="289" w:lineRule="atLeast"/>
              <w:rPr>
                <w:rFonts w:cs="Arial"/>
                <w:sz w:val="20"/>
                <w:szCs w:val="20"/>
              </w:rPr>
            </w:pPr>
            <w:r w:rsidRPr="00136A50">
              <w:rPr>
                <w:rFonts w:cs="Arial"/>
                <w:sz w:val="20"/>
                <w:szCs w:val="20"/>
                <w:highlight w:val="yellow"/>
              </w:rPr>
              <w:t>98.2</w:t>
            </w:r>
            <w:r w:rsidRPr="00136A50">
              <w:rPr>
                <w:rStyle w:val="apple-converted-space"/>
                <w:rFonts w:cs="Arial"/>
                <w:sz w:val="20"/>
                <w:szCs w:val="20"/>
                <w:highlight w:val="yellow"/>
              </w:rPr>
              <w:t> </w:t>
            </w:r>
            <w:r w:rsidRPr="00136A50">
              <w:rPr>
                <w:rFonts w:cs="Arial"/>
                <w:sz w:val="20"/>
                <w:szCs w:val="20"/>
                <w:highlight w:val="yellow"/>
              </w:rPr>
              <w:t>(93.8, 99.8)</w:t>
            </w:r>
          </w:p>
        </w:tc>
        <w:tc>
          <w:tcPr>
            <w:tcW w:w="1944" w:type="dxa"/>
            <w:gridSpan w:val="2"/>
          </w:tcPr>
          <w:p w:rsidR="00793591" w:rsidRPr="00136A50" w:rsidRDefault="00793591" w:rsidP="00E32BD2">
            <w:pPr>
              <w:spacing w:line="289" w:lineRule="atLeast"/>
              <w:rPr>
                <w:rFonts w:cs="Arial"/>
                <w:sz w:val="20"/>
                <w:szCs w:val="20"/>
              </w:rPr>
            </w:pPr>
            <w:r w:rsidRPr="00136A50">
              <w:rPr>
                <w:rFonts w:cs="Arial"/>
                <w:sz w:val="20"/>
                <w:szCs w:val="20"/>
              </w:rPr>
              <w:t>88.3 (80.8, 93.6)</w:t>
            </w:r>
          </w:p>
        </w:tc>
      </w:tr>
      <w:tr w:rsidR="00793591" w:rsidRPr="00136A50" w:rsidTr="00E32BD2">
        <w:tc>
          <w:tcPr>
            <w:tcW w:w="1560" w:type="dxa"/>
          </w:tcPr>
          <w:p w:rsidR="00793591" w:rsidRPr="00136A50" w:rsidRDefault="00793591" w:rsidP="00E32BD2">
            <w:pPr>
              <w:rPr>
                <w:sz w:val="20"/>
                <w:szCs w:val="20"/>
              </w:rPr>
            </w:pPr>
            <w:r w:rsidRPr="00136A50">
              <w:rPr>
                <w:sz w:val="20"/>
                <w:szCs w:val="20"/>
              </w:rPr>
              <w:t>Geometric Mean Titres (95% CI)</w:t>
            </w:r>
          </w:p>
        </w:tc>
        <w:tc>
          <w:tcPr>
            <w:tcW w:w="1062" w:type="dxa"/>
          </w:tcPr>
          <w:p w:rsidR="00793591" w:rsidRPr="00136A50" w:rsidRDefault="00793591" w:rsidP="00E32BD2">
            <w:pPr>
              <w:spacing w:line="289" w:lineRule="atLeast"/>
              <w:rPr>
                <w:rFonts w:cs="Arial"/>
                <w:sz w:val="20"/>
                <w:szCs w:val="20"/>
              </w:rPr>
            </w:pPr>
            <w:r w:rsidRPr="00136A50">
              <w:rPr>
                <w:rFonts w:cs="Arial"/>
                <w:sz w:val="20"/>
                <w:szCs w:val="20"/>
              </w:rPr>
              <w:t>16.5 (12.9, 21.1)</w:t>
            </w:r>
          </w:p>
        </w:tc>
        <w:tc>
          <w:tcPr>
            <w:tcW w:w="966" w:type="dxa"/>
          </w:tcPr>
          <w:p w:rsidR="00793591" w:rsidRPr="00136A50" w:rsidRDefault="00793591" w:rsidP="00E32BD2">
            <w:pPr>
              <w:spacing w:line="289" w:lineRule="atLeast"/>
              <w:rPr>
                <w:rFonts w:cs="Arial"/>
                <w:sz w:val="20"/>
                <w:szCs w:val="20"/>
              </w:rPr>
            </w:pPr>
            <w:r w:rsidRPr="00136A50">
              <w:rPr>
                <w:rFonts w:cs="Arial"/>
                <w:sz w:val="20"/>
                <w:szCs w:val="20"/>
              </w:rPr>
              <w:t>234 (186, 294)</w:t>
            </w:r>
          </w:p>
        </w:tc>
        <w:tc>
          <w:tcPr>
            <w:tcW w:w="976" w:type="dxa"/>
          </w:tcPr>
          <w:p w:rsidR="00793591" w:rsidRPr="00136A50" w:rsidRDefault="00793591" w:rsidP="00E32BD2">
            <w:pPr>
              <w:spacing w:line="289" w:lineRule="atLeast"/>
              <w:rPr>
                <w:rFonts w:cs="Arial"/>
                <w:sz w:val="20"/>
                <w:szCs w:val="20"/>
              </w:rPr>
            </w:pPr>
            <w:r w:rsidRPr="00136A50">
              <w:rPr>
                <w:rFonts w:cs="Arial"/>
                <w:sz w:val="20"/>
                <w:szCs w:val="20"/>
              </w:rPr>
              <w:t>94.0 (65.8, 134.2)</w:t>
            </w:r>
          </w:p>
        </w:tc>
        <w:tc>
          <w:tcPr>
            <w:tcW w:w="967" w:type="dxa"/>
          </w:tcPr>
          <w:p w:rsidR="00793591" w:rsidRPr="00136A50" w:rsidRDefault="00793591" w:rsidP="00E32BD2">
            <w:pPr>
              <w:spacing w:line="289" w:lineRule="atLeast"/>
              <w:rPr>
                <w:rFonts w:cs="Arial"/>
                <w:sz w:val="20"/>
                <w:szCs w:val="20"/>
              </w:rPr>
            </w:pPr>
            <w:r w:rsidRPr="00136A50">
              <w:rPr>
                <w:rFonts w:cs="Arial"/>
                <w:sz w:val="20"/>
                <w:szCs w:val="20"/>
              </w:rPr>
              <w:t>3210 (2672, 3857)</w:t>
            </w:r>
          </w:p>
        </w:tc>
        <w:tc>
          <w:tcPr>
            <w:tcW w:w="976" w:type="dxa"/>
          </w:tcPr>
          <w:p w:rsidR="00793591" w:rsidRPr="00136A50" w:rsidRDefault="00793591" w:rsidP="00E32BD2">
            <w:pPr>
              <w:spacing w:line="289" w:lineRule="atLeast"/>
              <w:rPr>
                <w:rFonts w:cs="Arial"/>
                <w:sz w:val="20"/>
                <w:szCs w:val="20"/>
              </w:rPr>
            </w:pPr>
            <w:r w:rsidRPr="00136A50">
              <w:rPr>
                <w:rFonts w:cs="Arial"/>
                <w:sz w:val="20"/>
                <w:szCs w:val="20"/>
              </w:rPr>
              <w:t>16.7 (12.8, 21.6)</w:t>
            </w:r>
          </w:p>
        </w:tc>
        <w:tc>
          <w:tcPr>
            <w:tcW w:w="967" w:type="dxa"/>
          </w:tcPr>
          <w:p w:rsidR="00793591" w:rsidRPr="00136A50" w:rsidRDefault="00793591" w:rsidP="00E32BD2">
            <w:pPr>
              <w:spacing w:line="289" w:lineRule="atLeast"/>
              <w:rPr>
                <w:rFonts w:cs="Arial"/>
                <w:sz w:val="20"/>
                <w:szCs w:val="20"/>
              </w:rPr>
            </w:pPr>
            <w:r w:rsidRPr="00136A50">
              <w:rPr>
                <w:rFonts w:cs="Arial"/>
                <w:sz w:val="20"/>
                <w:szCs w:val="20"/>
              </w:rPr>
              <w:t>795 (638, 992)</w:t>
            </w:r>
          </w:p>
        </w:tc>
        <w:tc>
          <w:tcPr>
            <w:tcW w:w="977" w:type="dxa"/>
          </w:tcPr>
          <w:p w:rsidR="00793591" w:rsidRPr="00136A50" w:rsidRDefault="00793591" w:rsidP="00E32BD2">
            <w:pPr>
              <w:spacing w:line="289" w:lineRule="atLeast"/>
              <w:rPr>
                <w:rFonts w:cs="Arial"/>
                <w:sz w:val="20"/>
                <w:szCs w:val="20"/>
              </w:rPr>
            </w:pPr>
            <w:r w:rsidRPr="00136A50">
              <w:rPr>
                <w:rFonts w:cs="Arial"/>
                <w:sz w:val="20"/>
                <w:szCs w:val="20"/>
              </w:rPr>
              <w:t>132.5 (98.4, 178.3)</w:t>
            </w:r>
          </w:p>
        </w:tc>
        <w:tc>
          <w:tcPr>
            <w:tcW w:w="967" w:type="dxa"/>
          </w:tcPr>
          <w:p w:rsidR="00793591" w:rsidRPr="00136A50" w:rsidRDefault="00793591" w:rsidP="00E32BD2">
            <w:pPr>
              <w:spacing w:line="289" w:lineRule="atLeast"/>
              <w:rPr>
                <w:rFonts w:cs="Arial"/>
                <w:sz w:val="20"/>
                <w:szCs w:val="20"/>
              </w:rPr>
            </w:pPr>
            <w:r w:rsidRPr="00136A50">
              <w:rPr>
                <w:rFonts w:cs="Arial"/>
                <w:sz w:val="20"/>
                <w:szCs w:val="20"/>
              </w:rPr>
              <w:t>6522 (5540, 7678)</w:t>
            </w:r>
          </w:p>
        </w:tc>
      </w:tr>
      <w:tr w:rsidR="00793591" w:rsidRPr="00136A50" w:rsidTr="00E32BD2">
        <w:tc>
          <w:tcPr>
            <w:tcW w:w="9418" w:type="dxa"/>
            <w:gridSpan w:val="9"/>
          </w:tcPr>
          <w:p w:rsidR="00793591" w:rsidRPr="00136A50" w:rsidRDefault="00793591" w:rsidP="00E32BD2">
            <w:pPr>
              <w:spacing w:line="289" w:lineRule="atLeast"/>
              <w:rPr>
                <w:rFonts w:cs="Arial"/>
                <w:b/>
                <w:bCs/>
                <w:sz w:val="20"/>
                <w:szCs w:val="20"/>
              </w:rPr>
            </w:pPr>
            <w:r w:rsidRPr="00136A50">
              <w:rPr>
                <w:rFonts w:cs="Arial"/>
                <w:b/>
                <w:bCs/>
                <w:sz w:val="20"/>
                <w:szCs w:val="20"/>
              </w:rPr>
              <w:t>Serotype 3</w:t>
            </w:r>
          </w:p>
        </w:tc>
      </w:tr>
      <w:tr w:rsidR="00793591" w:rsidRPr="00136A50" w:rsidTr="00E32BD2">
        <w:tc>
          <w:tcPr>
            <w:tcW w:w="1560" w:type="dxa"/>
          </w:tcPr>
          <w:p w:rsidR="00793591" w:rsidRPr="00136A50" w:rsidRDefault="00793591" w:rsidP="00E32BD2">
            <w:pPr>
              <w:rPr>
                <w:sz w:val="20"/>
                <w:szCs w:val="20"/>
              </w:rPr>
            </w:pPr>
            <w:r w:rsidRPr="00136A50">
              <w:rPr>
                <w:sz w:val="20"/>
                <w:szCs w:val="20"/>
              </w:rPr>
              <w:t>Seroconversion, % (95% CI)</w:t>
            </w:r>
          </w:p>
        </w:tc>
        <w:tc>
          <w:tcPr>
            <w:tcW w:w="2028" w:type="dxa"/>
            <w:gridSpan w:val="2"/>
          </w:tcPr>
          <w:p w:rsidR="00793591" w:rsidRPr="00136A50" w:rsidRDefault="00793591" w:rsidP="00E32BD2">
            <w:pPr>
              <w:spacing w:line="289" w:lineRule="atLeast"/>
              <w:rPr>
                <w:rFonts w:cs="Arial"/>
                <w:sz w:val="20"/>
                <w:szCs w:val="20"/>
              </w:rPr>
            </w:pPr>
            <w:r w:rsidRPr="00136A50">
              <w:rPr>
                <w:rFonts w:cs="Arial"/>
                <w:sz w:val="20"/>
                <w:szCs w:val="20"/>
              </w:rPr>
              <w:t>95.4</w:t>
            </w:r>
            <w:r w:rsidRPr="00136A50">
              <w:rPr>
                <w:rStyle w:val="apple-converted-space"/>
                <w:rFonts w:cs="Arial"/>
                <w:sz w:val="20"/>
                <w:szCs w:val="20"/>
              </w:rPr>
              <w:t> </w:t>
            </w:r>
            <w:r w:rsidRPr="00136A50">
              <w:rPr>
                <w:rFonts w:cs="Arial"/>
                <w:sz w:val="20"/>
                <w:szCs w:val="20"/>
              </w:rPr>
              <w:t>(89.6, 98.5)</w:t>
            </w:r>
          </w:p>
        </w:tc>
        <w:tc>
          <w:tcPr>
            <w:tcW w:w="1943" w:type="dxa"/>
            <w:gridSpan w:val="2"/>
          </w:tcPr>
          <w:p w:rsidR="00793591" w:rsidRPr="00136A50" w:rsidRDefault="00793591" w:rsidP="00E32BD2">
            <w:pPr>
              <w:spacing w:line="289" w:lineRule="atLeast"/>
              <w:rPr>
                <w:rFonts w:cs="Arial"/>
                <w:sz w:val="20"/>
                <w:szCs w:val="20"/>
              </w:rPr>
            </w:pPr>
            <w:r w:rsidRPr="00136A50">
              <w:rPr>
                <w:rFonts w:cs="Arial"/>
                <w:sz w:val="20"/>
                <w:szCs w:val="20"/>
              </w:rPr>
              <w:t>94.6 (88.6, 98.0)</w:t>
            </w:r>
          </w:p>
        </w:tc>
        <w:tc>
          <w:tcPr>
            <w:tcW w:w="1943" w:type="dxa"/>
            <w:gridSpan w:val="2"/>
          </w:tcPr>
          <w:p w:rsidR="00793591" w:rsidRPr="00136A50" w:rsidRDefault="00793591" w:rsidP="00E32BD2">
            <w:pPr>
              <w:spacing w:line="289" w:lineRule="atLeast"/>
              <w:rPr>
                <w:rFonts w:cs="Arial"/>
                <w:sz w:val="20"/>
                <w:szCs w:val="20"/>
              </w:rPr>
            </w:pPr>
            <w:r w:rsidRPr="00136A50">
              <w:rPr>
                <w:rFonts w:cs="Arial"/>
                <w:sz w:val="20"/>
                <w:szCs w:val="20"/>
              </w:rPr>
              <w:t>100.0 (96.8, 100.0)</w:t>
            </w:r>
          </w:p>
        </w:tc>
        <w:tc>
          <w:tcPr>
            <w:tcW w:w="1944" w:type="dxa"/>
            <w:gridSpan w:val="2"/>
          </w:tcPr>
          <w:p w:rsidR="00793591" w:rsidRPr="00136A50" w:rsidRDefault="00793591" w:rsidP="00E32BD2">
            <w:pPr>
              <w:spacing w:line="289" w:lineRule="atLeast"/>
              <w:rPr>
                <w:rFonts w:cs="Arial"/>
                <w:sz w:val="20"/>
                <w:szCs w:val="20"/>
              </w:rPr>
            </w:pPr>
            <w:r w:rsidRPr="00136A50">
              <w:rPr>
                <w:rFonts w:cs="Arial"/>
                <w:sz w:val="20"/>
                <w:szCs w:val="20"/>
              </w:rPr>
              <w:t>94.6 (88.6, 98.0)</w:t>
            </w:r>
          </w:p>
        </w:tc>
      </w:tr>
      <w:tr w:rsidR="00793591" w:rsidRPr="00136A50" w:rsidTr="00E32BD2">
        <w:tc>
          <w:tcPr>
            <w:tcW w:w="1560" w:type="dxa"/>
          </w:tcPr>
          <w:p w:rsidR="00793591" w:rsidRPr="00136A50" w:rsidRDefault="00793591" w:rsidP="00E32BD2">
            <w:pPr>
              <w:rPr>
                <w:sz w:val="20"/>
                <w:szCs w:val="20"/>
              </w:rPr>
            </w:pPr>
            <w:r w:rsidRPr="00136A50">
              <w:rPr>
                <w:sz w:val="20"/>
                <w:szCs w:val="20"/>
              </w:rPr>
              <w:t>Geometric Mean Titres (95% CI)</w:t>
            </w:r>
          </w:p>
        </w:tc>
        <w:tc>
          <w:tcPr>
            <w:tcW w:w="1062" w:type="dxa"/>
          </w:tcPr>
          <w:p w:rsidR="00793591" w:rsidRPr="00136A50" w:rsidRDefault="00793591" w:rsidP="00E32BD2">
            <w:pPr>
              <w:spacing w:line="289" w:lineRule="atLeast"/>
              <w:rPr>
                <w:rFonts w:cs="Arial"/>
                <w:sz w:val="20"/>
                <w:szCs w:val="20"/>
              </w:rPr>
            </w:pPr>
            <w:r w:rsidRPr="00136A50">
              <w:rPr>
                <w:rFonts w:cs="Arial"/>
                <w:sz w:val="20"/>
                <w:szCs w:val="20"/>
              </w:rPr>
              <w:t>7.8 (6.0, 10.0)</w:t>
            </w:r>
          </w:p>
        </w:tc>
        <w:tc>
          <w:tcPr>
            <w:tcW w:w="966" w:type="dxa"/>
          </w:tcPr>
          <w:p w:rsidR="00793591" w:rsidRPr="00136A50" w:rsidRDefault="00793591" w:rsidP="00E32BD2">
            <w:pPr>
              <w:spacing w:line="289" w:lineRule="atLeast"/>
              <w:rPr>
                <w:rFonts w:cs="Arial"/>
                <w:sz w:val="20"/>
                <w:szCs w:val="20"/>
              </w:rPr>
            </w:pPr>
            <w:r w:rsidRPr="00136A50">
              <w:rPr>
                <w:rFonts w:cs="Arial"/>
                <w:sz w:val="20"/>
                <w:szCs w:val="20"/>
              </w:rPr>
              <w:t>194 (157, 240)</w:t>
            </w:r>
          </w:p>
        </w:tc>
        <w:tc>
          <w:tcPr>
            <w:tcW w:w="976" w:type="dxa"/>
          </w:tcPr>
          <w:p w:rsidR="00793591" w:rsidRPr="00136A50" w:rsidRDefault="00793591" w:rsidP="00E32BD2">
            <w:pPr>
              <w:spacing w:line="289" w:lineRule="atLeast"/>
              <w:rPr>
                <w:rFonts w:cs="Arial"/>
                <w:sz w:val="20"/>
                <w:szCs w:val="20"/>
              </w:rPr>
            </w:pPr>
            <w:r w:rsidRPr="00136A50">
              <w:rPr>
                <w:rFonts w:cs="Arial"/>
                <w:sz w:val="20"/>
                <w:szCs w:val="20"/>
              </w:rPr>
              <w:t>50.3 (37.6, 67.4)</w:t>
            </w:r>
          </w:p>
        </w:tc>
        <w:tc>
          <w:tcPr>
            <w:tcW w:w="967" w:type="dxa"/>
          </w:tcPr>
          <w:p w:rsidR="00793591" w:rsidRPr="00136A50" w:rsidRDefault="00793591" w:rsidP="00E32BD2">
            <w:pPr>
              <w:spacing w:line="289" w:lineRule="atLeast"/>
              <w:rPr>
                <w:rFonts w:cs="Arial"/>
                <w:sz w:val="20"/>
                <w:szCs w:val="20"/>
              </w:rPr>
            </w:pPr>
            <w:r w:rsidRPr="00136A50">
              <w:rPr>
                <w:rFonts w:cs="Arial"/>
                <w:sz w:val="20"/>
                <w:szCs w:val="20"/>
              </w:rPr>
              <w:t>4498 (3608, 5607)</w:t>
            </w:r>
          </w:p>
        </w:tc>
        <w:tc>
          <w:tcPr>
            <w:tcW w:w="976" w:type="dxa"/>
          </w:tcPr>
          <w:p w:rsidR="00793591" w:rsidRPr="00136A50" w:rsidRDefault="00793591" w:rsidP="00E32BD2">
            <w:pPr>
              <w:spacing w:line="289" w:lineRule="atLeast"/>
              <w:rPr>
                <w:rFonts w:cs="Arial"/>
                <w:sz w:val="20"/>
                <w:szCs w:val="20"/>
              </w:rPr>
            </w:pPr>
            <w:r w:rsidRPr="00136A50">
              <w:rPr>
                <w:rFonts w:cs="Arial"/>
                <w:sz w:val="20"/>
                <w:szCs w:val="20"/>
              </w:rPr>
              <w:t>6.7 (5.2, 8.6)</w:t>
            </w:r>
          </w:p>
        </w:tc>
        <w:tc>
          <w:tcPr>
            <w:tcW w:w="967" w:type="dxa"/>
          </w:tcPr>
          <w:p w:rsidR="00793591" w:rsidRPr="00136A50" w:rsidRDefault="00793591" w:rsidP="00E32BD2">
            <w:pPr>
              <w:spacing w:line="289" w:lineRule="atLeast"/>
              <w:rPr>
                <w:rFonts w:cs="Arial"/>
                <w:sz w:val="20"/>
                <w:szCs w:val="20"/>
              </w:rPr>
            </w:pPr>
            <w:r w:rsidRPr="00136A50">
              <w:rPr>
                <w:rFonts w:cs="Arial"/>
                <w:sz w:val="20"/>
                <w:szCs w:val="20"/>
              </w:rPr>
              <w:t>774 (622, 963)</w:t>
            </w:r>
          </w:p>
        </w:tc>
        <w:tc>
          <w:tcPr>
            <w:tcW w:w="977" w:type="dxa"/>
          </w:tcPr>
          <w:p w:rsidR="00793591" w:rsidRPr="00136A50" w:rsidRDefault="00793591" w:rsidP="00E32BD2">
            <w:pPr>
              <w:spacing w:line="289" w:lineRule="atLeast"/>
              <w:rPr>
                <w:rFonts w:cs="Arial"/>
                <w:sz w:val="20"/>
                <w:szCs w:val="20"/>
              </w:rPr>
            </w:pPr>
            <w:r w:rsidRPr="00136A50">
              <w:rPr>
                <w:rFonts w:cs="Arial"/>
                <w:sz w:val="20"/>
                <w:szCs w:val="20"/>
              </w:rPr>
              <w:t>136 (103, 181)</w:t>
            </w:r>
          </w:p>
        </w:tc>
        <w:tc>
          <w:tcPr>
            <w:tcW w:w="967" w:type="dxa"/>
          </w:tcPr>
          <w:p w:rsidR="00793591" w:rsidRPr="00136A50" w:rsidRDefault="00793591" w:rsidP="00E32BD2">
            <w:pPr>
              <w:spacing w:line="289" w:lineRule="atLeast"/>
              <w:rPr>
                <w:rFonts w:cs="Arial"/>
                <w:sz w:val="20"/>
                <w:szCs w:val="20"/>
              </w:rPr>
            </w:pPr>
            <w:r w:rsidRPr="00136A50">
              <w:rPr>
                <w:rFonts w:cs="Arial"/>
                <w:sz w:val="20"/>
                <w:szCs w:val="20"/>
              </w:rPr>
              <w:t>11 952 (10 046, 14 220)</w:t>
            </w:r>
          </w:p>
        </w:tc>
      </w:tr>
    </w:tbl>
    <w:p w:rsidR="00793591" w:rsidRPr="00136A50" w:rsidRDefault="00793591" w:rsidP="00793591">
      <w:pPr>
        <w:rPr>
          <w:sz w:val="20"/>
          <w:szCs w:val="20"/>
        </w:rPr>
      </w:pPr>
    </w:p>
    <w:p w:rsidR="00793591" w:rsidRPr="00136A50" w:rsidRDefault="00793591" w:rsidP="00793591">
      <w:pPr>
        <w:rPr>
          <w:sz w:val="20"/>
          <w:szCs w:val="20"/>
        </w:rPr>
      </w:pPr>
    </w:p>
    <w:p w:rsidR="00793591" w:rsidRPr="00136A50" w:rsidRDefault="00793591" w:rsidP="00793591">
      <w:pPr>
        <w:rPr>
          <w:sz w:val="20"/>
          <w:szCs w:val="20"/>
        </w:rPr>
      </w:pPr>
    </w:p>
    <w:p w:rsidR="00793591" w:rsidRPr="00136A50" w:rsidRDefault="00793591" w:rsidP="00793591">
      <w:pPr>
        <w:rPr>
          <w:sz w:val="20"/>
          <w:szCs w:val="20"/>
        </w:rPr>
      </w:pPr>
    </w:p>
    <w:p w:rsidR="00793591" w:rsidRPr="00136A50" w:rsidRDefault="00793591" w:rsidP="00793591">
      <w:pPr>
        <w:rPr>
          <w:sz w:val="20"/>
          <w:szCs w:val="20"/>
        </w:rPr>
      </w:pPr>
    </w:p>
    <w:p w:rsidR="00793591" w:rsidRPr="00136A50" w:rsidRDefault="00793591" w:rsidP="00793591">
      <w:pPr>
        <w:rPr>
          <w:sz w:val="20"/>
          <w:szCs w:val="20"/>
        </w:rPr>
      </w:pPr>
    </w:p>
    <w:p w:rsidR="00793591" w:rsidRPr="00136A50" w:rsidRDefault="00793591" w:rsidP="00793591">
      <w:pPr>
        <w:spacing w:after="0"/>
        <w:rPr>
          <w:rFonts w:cs="Frutiger LT 57 Cn"/>
          <w:b/>
          <w:bCs/>
          <w:sz w:val="20"/>
          <w:szCs w:val="20"/>
          <w:lang w:val="en-US"/>
        </w:rPr>
      </w:pPr>
      <w:r w:rsidRPr="00136A50">
        <w:rPr>
          <w:rFonts w:cs="Frutiger LT 57 Cn"/>
          <w:b/>
          <w:bCs/>
          <w:sz w:val="20"/>
          <w:szCs w:val="20"/>
          <w:lang w:val="en-US"/>
        </w:rPr>
        <w:lastRenderedPageBreak/>
        <w:t>Resik S et al. Priming after a fractional dose of inactivated poliovirus vaccine. The New England Journal of Medicine 2013; 368:416-24</w:t>
      </w:r>
    </w:p>
    <w:p w:rsidR="00793591" w:rsidRPr="00136A50" w:rsidRDefault="00793591" w:rsidP="00793591">
      <w:pPr>
        <w:spacing w:after="0"/>
        <w:rPr>
          <w:rFonts w:cs="Frutiger LT 57 Cn"/>
          <w:b/>
          <w:bCs/>
          <w:sz w:val="20"/>
          <w:szCs w:val="20"/>
          <w:lang w:val="en-US"/>
        </w:rPr>
      </w:pPr>
    </w:p>
    <w:p w:rsidR="00793591" w:rsidRPr="00136A50" w:rsidRDefault="00793591" w:rsidP="00793591">
      <w:pPr>
        <w:rPr>
          <w:rFonts w:cs="Arial"/>
          <w:sz w:val="20"/>
          <w:szCs w:val="20"/>
          <w:shd w:val="clear" w:color="auto" w:fill="FFFFFF"/>
        </w:rPr>
      </w:pPr>
      <w:r w:rsidRPr="00136A50">
        <w:rPr>
          <w:b/>
          <w:bCs/>
          <w:sz w:val="20"/>
          <w:szCs w:val="20"/>
        </w:rPr>
        <w:t>Background</w:t>
      </w:r>
      <w:r w:rsidRPr="00136A50">
        <w:rPr>
          <w:sz w:val="20"/>
          <w:szCs w:val="20"/>
        </w:rPr>
        <w:t>: To reduce the costs of maintaining a poliovirus immunization base in low-income areas, we assessed the extent of priming immune responses after the administration of inactivated poliovirus vaccine (IPV).</w:t>
      </w:r>
      <w:r w:rsidRPr="00136A50">
        <w:rPr>
          <w:b/>
          <w:bCs/>
          <w:sz w:val="20"/>
          <w:szCs w:val="20"/>
        </w:rPr>
        <w:t xml:space="preserve"> Methods:</w:t>
      </w:r>
      <w:r w:rsidRPr="00136A50">
        <w:rPr>
          <w:sz w:val="20"/>
          <w:szCs w:val="20"/>
        </w:rPr>
        <w:t xml:space="preserve"> We compared the immunogenicity and </w:t>
      </w:r>
      <w:proofErr w:type="spellStart"/>
      <w:r w:rsidRPr="00136A50">
        <w:rPr>
          <w:sz w:val="20"/>
          <w:szCs w:val="20"/>
        </w:rPr>
        <w:t>reactogenicity</w:t>
      </w:r>
      <w:proofErr w:type="spellEnd"/>
      <w:r w:rsidRPr="00136A50">
        <w:rPr>
          <w:sz w:val="20"/>
          <w:szCs w:val="20"/>
        </w:rPr>
        <w:t xml:space="preserve"> of a fractional dose of IPV (one fifth of a full dose) administered intradermally with a full dose administered intramuscularly in Cuban infants at the ages of 4 and 8 months. Blood was collected from infants at the ages of 4 months, 8 months, 8 months 7 days, and 8 months 30 days to assess single-dose seroconversion, single-dose priming of immune responses, and two-dose seroconversion. Specimens were tested with a neutralization assay. </w:t>
      </w:r>
      <w:r w:rsidRPr="00136A50">
        <w:rPr>
          <w:b/>
          <w:bCs/>
          <w:sz w:val="20"/>
          <w:szCs w:val="20"/>
        </w:rPr>
        <w:t>Results:</w:t>
      </w:r>
      <w:r w:rsidRPr="00136A50">
        <w:rPr>
          <w:sz w:val="20"/>
          <w:szCs w:val="20"/>
        </w:rPr>
        <w:t xml:space="preserve"> </w:t>
      </w:r>
      <w:r w:rsidRPr="00136A50">
        <w:rPr>
          <w:rFonts w:cs="Arial"/>
          <w:sz w:val="20"/>
          <w:szCs w:val="20"/>
          <w:shd w:val="clear" w:color="auto" w:fill="FFFFFF"/>
        </w:rPr>
        <w:t xml:space="preserve">A total of 320 infants underwent randomization, and 310 infants (96.9%) fulfilled the study requirements. In the group receiving the first fractional dose of IPV, seroconversion to poliovirus types 1, 2, and 3 occurred in 16.6%, 47.1%, and 14.7% of participants, respectively, as compared with 46.6%, 62.8%, and 32.0% in the group receiving the first full dose of IPV (P&lt;0.008 for all comparisons). A priming immune response to poliovirus types 1, 2, and 3 occurred in 90.8%, 94.0%, and 89.6% of participants, respectively, in the group receiving the fractional dose as compared with 97.6%, 98.3%, and 98.1% in the group receiving the full dose (P=0.01 for the comparison with type 3). After the administration of the second dose of IPV in the group receiving fractional doses, cumulative two-dose seroconversion to poliovirus types 1, 2, and 3 occurred in 93.6%, 98.1%, and 93.0% of participants, respectively, as compared with 100.0%, 100.0%, and 99.4% in the group receiving the full dose (P&lt;0.006 for the comparisons of types 1 and 3). The group receiving intradermal injections had the greatest number of adverse events, most of which were minor in intensity and none of which had serious consequences. </w:t>
      </w:r>
      <w:r w:rsidRPr="00136A50">
        <w:rPr>
          <w:rFonts w:cs="Arial"/>
          <w:b/>
          <w:bCs/>
          <w:sz w:val="20"/>
          <w:szCs w:val="20"/>
          <w:shd w:val="clear" w:color="auto" w:fill="FFFFFF"/>
        </w:rPr>
        <w:t>Conclusions:</w:t>
      </w:r>
      <w:r w:rsidRPr="00136A50">
        <w:rPr>
          <w:rFonts w:cs="Arial"/>
          <w:sz w:val="20"/>
          <w:szCs w:val="20"/>
          <w:shd w:val="clear" w:color="auto" w:fill="FFFFFF"/>
        </w:rPr>
        <w:t xml:space="preserve"> This evaluation shows that vaccinating infants with a single fractional dose of IPV can induce priming and seroconversion in more than 90% of immunized infants.</w:t>
      </w:r>
    </w:p>
    <w:tbl>
      <w:tblPr>
        <w:tblStyle w:val="TableGrid"/>
        <w:tblW w:w="0" w:type="auto"/>
        <w:tblInd w:w="-459" w:type="dxa"/>
        <w:tblLook w:val="04A0" w:firstRow="1" w:lastRow="0" w:firstColumn="1" w:lastColumn="0" w:noHBand="0" w:noVBand="1"/>
      </w:tblPr>
      <w:tblGrid>
        <w:gridCol w:w="3539"/>
        <w:gridCol w:w="3081"/>
        <w:gridCol w:w="3081"/>
      </w:tblGrid>
      <w:tr w:rsidR="00793591" w:rsidRPr="00136A50" w:rsidTr="00E32BD2">
        <w:tc>
          <w:tcPr>
            <w:tcW w:w="3539" w:type="dxa"/>
          </w:tcPr>
          <w:p w:rsidR="00793591" w:rsidRPr="00136A50" w:rsidRDefault="00793591" w:rsidP="00E32BD2">
            <w:pPr>
              <w:rPr>
                <w:rFonts w:cs="Frutiger LT 57 Cn"/>
                <w:sz w:val="20"/>
                <w:szCs w:val="20"/>
                <w:lang w:val="en-US"/>
              </w:rPr>
            </w:pPr>
          </w:p>
        </w:tc>
        <w:tc>
          <w:tcPr>
            <w:tcW w:w="3081" w:type="dxa"/>
          </w:tcPr>
          <w:p w:rsidR="00793591" w:rsidRPr="00136A50" w:rsidRDefault="00793591" w:rsidP="00E32BD2">
            <w:pPr>
              <w:rPr>
                <w:rFonts w:cs="Frutiger LT 57 Cn"/>
                <w:sz w:val="20"/>
                <w:szCs w:val="20"/>
                <w:lang w:val="en-US"/>
              </w:rPr>
            </w:pPr>
            <w:r w:rsidRPr="00136A50">
              <w:rPr>
                <w:rFonts w:cs="Frutiger LT 57 Cn"/>
                <w:sz w:val="20"/>
                <w:szCs w:val="20"/>
                <w:lang w:val="en-US"/>
              </w:rPr>
              <w:t>ID fractional IPV (N=157)</w:t>
            </w:r>
          </w:p>
        </w:tc>
        <w:tc>
          <w:tcPr>
            <w:tcW w:w="3081" w:type="dxa"/>
          </w:tcPr>
          <w:p w:rsidR="00793591" w:rsidRPr="00136A50" w:rsidRDefault="00793591" w:rsidP="00E32BD2">
            <w:pPr>
              <w:rPr>
                <w:rFonts w:cs="Frutiger LT 57 Cn"/>
                <w:sz w:val="20"/>
                <w:szCs w:val="20"/>
                <w:lang w:val="en-US"/>
              </w:rPr>
            </w:pPr>
            <w:r w:rsidRPr="00136A50">
              <w:rPr>
                <w:rFonts w:cs="Frutiger LT 57 Cn"/>
                <w:sz w:val="20"/>
                <w:szCs w:val="20"/>
                <w:lang w:val="en-US"/>
              </w:rPr>
              <w:t>IM IPV (N=153)</w:t>
            </w:r>
          </w:p>
        </w:tc>
      </w:tr>
      <w:tr w:rsidR="00793591" w:rsidRPr="00136A50" w:rsidTr="00E32BD2">
        <w:tc>
          <w:tcPr>
            <w:tcW w:w="9701" w:type="dxa"/>
            <w:gridSpan w:val="3"/>
          </w:tcPr>
          <w:p w:rsidR="00793591" w:rsidRPr="00136A50" w:rsidRDefault="00793591" w:rsidP="00E32BD2">
            <w:pPr>
              <w:rPr>
                <w:rFonts w:cs="Frutiger LT 57 Cn"/>
                <w:b/>
                <w:bCs/>
                <w:sz w:val="20"/>
                <w:szCs w:val="20"/>
                <w:lang w:val="en-US"/>
              </w:rPr>
            </w:pPr>
            <w:r w:rsidRPr="00136A50">
              <w:rPr>
                <w:rFonts w:cs="Frutiger LT 57 Cn"/>
                <w:b/>
                <w:bCs/>
                <w:sz w:val="20"/>
                <w:szCs w:val="20"/>
                <w:lang w:val="en-US"/>
              </w:rPr>
              <w:t>Poliovirus serotype 1</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Seroconversion after 1</w:t>
            </w:r>
            <w:r w:rsidRPr="00136A50">
              <w:rPr>
                <w:rFonts w:cs="Frutiger LT 57 Cn"/>
                <w:sz w:val="20"/>
                <w:szCs w:val="20"/>
                <w:vertAlign w:val="superscript"/>
                <w:lang w:val="en-US"/>
              </w:rPr>
              <w:t>st</w:t>
            </w:r>
            <w:r w:rsidRPr="00136A50">
              <w:rPr>
                <w:rFonts w:cs="Frutiger LT 57 Cn"/>
                <w:sz w:val="20"/>
                <w:szCs w:val="20"/>
                <w:lang w:val="en-US"/>
              </w:rPr>
              <w:t xml:space="preserve"> dose,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 xml:space="preserve">26/157 (16.6) </w:t>
            </w:r>
          </w:p>
        </w:tc>
        <w:tc>
          <w:tcPr>
            <w:tcW w:w="3081" w:type="dxa"/>
          </w:tcPr>
          <w:p w:rsidR="00793591" w:rsidRPr="00136A50" w:rsidRDefault="00793591" w:rsidP="00E32BD2">
            <w:pPr>
              <w:rPr>
                <w:rFonts w:cs="Frutiger LT 57 Cn"/>
                <w:sz w:val="20"/>
                <w:szCs w:val="20"/>
                <w:lang w:val="en-US"/>
              </w:rPr>
            </w:pPr>
            <w:r w:rsidRPr="00136A50">
              <w:rPr>
                <w:sz w:val="20"/>
                <w:szCs w:val="20"/>
              </w:rPr>
              <w:t>71/153 (46.4)</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 xml:space="preserve">Priming response,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119/131 (90.8)</w:t>
            </w:r>
          </w:p>
        </w:tc>
        <w:tc>
          <w:tcPr>
            <w:tcW w:w="3081" w:type="dxa"/>
          </w:tcPr>
          <w:p w:rsidR="00793591" w:rsidRPr="00136A50" w:rsidRDefault="00793591" w:rsidP="00E32BD2">
            <w:pPr>
              <w:rPr>
                <w:rFonts w:cs="Frutiger LT 57 Cn"/>
                <w:sz w:val="20"/>
                <w:szCs w:val="20"/>
                <w:lang w:val="en-US"/>
              </w:rPr>
            </w:pPr>
            <w:r w:rsidRPr="00136A50">
              <w:rPr>
                <w:sz w:val="20"/>
                <w:szCs w:val="20"/>
              </w:rPr>
              <w:t>80/82 (97.6)</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 xml:space="preserve">Seroconversion between visits 3-4,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2/12 (16.7)</w:t>
            </w:r>
          </w:p>
        </w:tc>
        <w:tc>
          <w:tcPr>
            <w:tcW w:w="3081" w:type="dxa"/>
          </w:tcPr>
          <w:p w:rsidR="00793591" w:rsidRPr="00136A50" w:rsidRDefault="00793591" w:rsidP="00E32BD2">
            <w:pPr>
              <w:rPr>
                <w:rFonts w:cs="Frutiger LT 57 Cn"/>
                <w:sz w:val="20"/>
                <w:szCs w:val="20"/>
                <w:lang w:val="en-US"/>
              </w:rPr>
            </w:pPr>
            <w:r w:rsidRPr="00136A50">
              <w:rPr>
                <w:sz w:val="20"/>
                <w:szCs w:val="20"/>
              </w:rPr>
              <w:t>2/2 (100)</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Seroconversion after 2</w:t>
            </w:r>
            <w:r w:rsidRPr="00136A50">
              <w:rPr>
                <w:rFonts w:cs="Frutiger LT 57 Cn"/>
                <w:sz w:val="20"/>
                <w:szCs w:val="20"/>
                <w:vertAlign w:val="superscript"/>
                <w:lang w:val="en-US"/>
              </w:rPr>
              <w:t>nd</w:t>
            </w:r>
            <w:r w:rsidRPr="00136A50">
              <w:rPr>
                <w:rFonts w:cs="Frutiger LT 57 Cn"/>
                <w:sz w:val="20"/>
                <w:szCs w:val="20"/>
                <w:lang w:val="en-US"/>
              </w:rPr>
              <w:t xml:space="preserve"> dose,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121/131 (92.4)</w:t>
            </w:r>
          </w:p>
        </w:tc>
        <w:tc>
          <w:tcPr>
            <w:tcW w:w="3081" w:type="dxa"/>
          </w:tcPr>
          <w:p w:rsidR="00793591" w:rsidRPr="00136A50" w:rsidRDefault="00793591" w:rsidP="00E32BD2">
            <w:pPr>
              <w:rPr>
                <w:rFonts w:cs="Frutiger LT 57 Cn"/>
                <w:sz w:val="20"/>
                <w:szCs w:val="20"/>
                <w:lang w:val="en-US"/>
              </w:rPr>
            </w:pPr>
            <w:r w:rsidRPr="00136A50">
              <w:rPr>
                <w:sz w:val="20"/>
                <w:szCs w:val="20"/>
              </w:rPr>
              <w:t>82/82 (100)</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 xml:space="preserve">Cumulative seroconversion,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147/157 (93.6)</w:t>
            </w:r>
          </w:p>
        </w:tc>
        <w:tc>
          <w:tcPr>
            <w:tcW w:w="3081" w:type="dxa"/>
          </w:tcPr>
          <w:p w:rsidR="00793591" w:rsidRPr="00136A50" w:rsidRDefault="00793591" w:rsidP="00E32BD2">
            <w:pPr>
              <w:rPr>
                <w:rFonts w:cs="Frutiger LT 57 Cn"/>
                <w:sz w:val="20"/>
                <w:szCs w:val="20"/>
                <w:lang w:val="en-US"/>
              </w:rPr>
            </w:pPr>
            <w:r w:rsidRPr="00136A50">
              <w:rPr>
                <w:sz w:val="20"/>
                <w:szCs w:val="20"/>
              </w:rPr>
              <w:t>153/153 (100)</w:t>
            </w:r>
          </w:p>
        </w:tc>
      </w:tr>
      <w:tr w:rsidR="00793591" w:rsidRPr="00136A50" w:rsidTr="00E32BD2">
        <w:trPr>
          <w:trHeight w:val="211"/>
        </w:trPr>
        <w:tc>
          <w:tcPr>
            <w:tcW w:w="9701" w:type="dxa"/>
            <w:gridSpan w:val="3"/>
          </w:tcPr>
          <w:p w:rsidR="00793591" w:rsidRPr="00136A50" w:rsidRDefault="00793591" w:rsidP="00E32BD2">
            <w:pPr>
              <w:rPr>
                <w:rFonts w:cs="Frutiger LT 57 Cn"/>
                <w:b/>
                <w:bCs/>
                <w:sz w:val="20"/>
                <w:szCs w:val="20"/>
                <w:lang w:val="en-US"/>
              </w:rPr>
            </w:pPr>
            <w:r w:rsidRPr="00136A50">
              <w:rPr>
                <w:rFonts w:cs="Frutiger LT 57 Cn"/>
                <w:b/>
                <w:bCs/>
                <w:sz w:val="20"/>
                <w:szCs w:val="20"/>
                <w:lang w:val="en-US"/>
              </w:rPr>
              <w:t>Poliovirus serotype 2</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Seroconversion after 1</w:t>
            </w:r>
            <w:r w:rsidRPr="00136A50">
              <w:rPr>
                <w:rFonts w:cs="Frutiger LT 57 Cn"/>
                <w:sz w:val="20"/>
                <w:szCs w:val="20"/>
                <w:vertAlign w:val="superscript"/>
                <w:lang w:val="en-US"/>
              </w:rPr>
              <w:t>st</w:t>
            </w:r>
            <w:r w:rsidRPr="00136A50">
              <w:rPr>
                <w:rFonts w:cs="Frutiger LT 57 Cn"/>
                <w:sz w:val="20"/>
                <w:szCs w:val="20"/>
                <w:lang w:val="en-US"/>
              </w:rPr>
              <w:t xml:space="preserve"> dose,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74/157 (47.1)</w:t>
            </w:r>
          </w:p>
        </w:tc>
        <w:tc>
          <w:tcPr>
            <w:tcW w:w="3081" w:type="dxa"/>
          </w:tcPr>
          <w:p w:rsidR="00793591" w:rsidRPr="00136A50" w:rsidRDefault="00793591" w:rsidP="00E32BD2">
            <w:pPr>
              <w:rPr>
                <w:rFonts w:cs="Frutiger LT 57 Cn"/>
                <w:sz w:val="20"/>
                <w:szCs w:val="20"/>
                <w:lang w:val="en-US"/>
              </w:rPr>
            </w:pPr>
            <w:r w:rsidRPr="00136A50">
              <w:rPr>
                <w:sz w:val="20"/>
                <w:szCs w:val="20"/>
                <w:highlight w:val="yellow"/>
              </w:rPr>
              <w:t>96/153 (62.7)</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 xml:space="preserve">Priming response,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78/83 (94.0)</w:t>
            </w:r>
          </w:p>
        </w:tc>
        <w:tc>
          <w:tcPr>
            <w:tcW w:w="3081" w:type="dxa"/>
          </w:tcPr>
          <w:p w:rsidR="00793591" w:rsidRPr="00136A50" w:rsidRDefault="00793591" w:rsidP="00E32BD2">
            <w:pPr>
              <w:rPr>
                <w:rFonts w:cs="Frutiger LT 57 Cn"/>
                <w:sz w:val="20"/>
                <w:szCs w:val="20"/>
                <w:lang w:val="en-US"/>
              </w:rPr>
            </w:pPr>
            <w:r w:rsidRPr="00136A50">
              <w:rPr>
                <w:sz w:val="20"/>
                <w:szCs w:val="20"/>
              </w:rPr>
              <w:t>56/57 (98.2)</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 xml:space="preserve">Seroconversion between visits 3-4,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2/5 (40.0)</w:t>
            </w:r>
          </w:p>
        </w:tc>
        <w:tc>
          <w:tcPr>
            <w:tcW w:w="3081" w:type="dxa"/>
          </w:tcPr>
          <w:p w:rsidR="00793591" w:rsidRPr="00136A50" w:rsidRDefault="00793591" w:rsidP="00E32BD2">
            <w:pPr>
              <w:rPr>
                <w:rFonts w:cs="Frutiger LT 57 Cn"/>
                <w:sz w:val="20"/>
                <w:szCs w:val="20"/>
                <w:lang w:val="en-US"/>
              </w:rPr>
            </w:pPr>
            <w:r w:rsidRPr="00136A50">
              <w:rPr>
                <w:sz w:val="20"/>
                <w:szCs w:val="20"/>
              </w:rPr>
              <w:t>1/1 (100)</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Seroconversion after 2</w:t>
            </w:r>
            <w:r w:rsidRPr="00136A50">
              <w:rPr>
                <w:rFonts w:cs="Frutiger LT 57 Cn"/>
                <w:sz w:val="20"/>
                <w:szCs w:val="20"/>
                <w:vertAlign w:val="superscript"/>
                <w:lang w:val="en-US"/>
              </w:rPr>
              <w:t>nd</w:t>
            </w:r>
            <w:r w:rsidRPr="00136A50">
              <w:rPr>
                <w:rFonts w:cs="Frutiger LT 57 Cn"/>
                <w:sz w:val="20"/>
                <w:szCs w:val="20"/>
                <w:lang w:val="en-US"/>
              </w:rPr>
              <w:t xml:space="preserve"> dose,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80/83 (96.4)</w:t>
            </w:r>
          </w:p>
        </w:tc>
        <w:tc>
          <w:tcPr>
            <w:tcW w:w="3081" w:type="dxa"/>
          </w:tcPr>
          <w:p w:rsidR="00793591" w:rsidRPr="00136A50" w:rsidRDefault="00793591" w:rsidP="00E32BD2">
            <w:pPr>
              <w:rPr>
                <w:rFonts w:cs="Frutiger LT 57 Cn"/>
                <w:sz w:val="20"/>
                <w:szCs w:val="20"/>
                <w:lang w:val="en-US"/>
              </w:rPr>
            </w:pPr>
            <w:r w:rsidRPr="00136A50">
              <w:rPr>
                <w:sz w:val="20"/>
                <w:szCs w:val="20"/>
              </w:rPr>
              <w:t>57/57 (100)</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 xml:space="preserve">Cumulative seroconversion,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highlight w:val="yellow"/>
              </w:rPr>
              <w:t>154/157 (98.1)</w:t>
            </w:r>
          </w:p>
        </w:tc>
        <w:tc>
          <w:tcPr>
            <w:tcW w:w="3081" w:type="dxa"/>
          </w:tcPr>
          <w:p w:rsidR="00793591" w:rsidRPr="00136A50" w:rsidRDefault="00793591" w:rsidP="00E32BD2">
            <w:pPr>
              <w:rPr>
                <w:rFonts w:cs="Frutiger LT 57 Cn"/>
                <w:sz w:val="20"/>
                <w:szCs w:val="20"/>
                <w:lang w:val="en-US"/>
              </w:rPr>
            </w:pPr>
            <w:r w:rsidRPr="00136A50">
              <w:rPr>
                <w:sz w:val="20"/>
                <w:szCs w:val="20"/>
              </w:rPr>
              <w:t>153/153 (100)</w:t>
            </w:r>
          </w:p>
        </w:tc>
      </w:tr>
      <w:tr w:rsidR="00793591" w:rsidRPr="00136A50" w:rsidTr="00E32BD2">
        <w:tc>
          <w:tcPr>
            <w:tcW w:w="9701" w:type="dxa"/>
            <w:gridSpan w:val="3"/>
          </w:tcPr>
          <w:p w:rsidR="00793591" w:rsidRPr="00136A50" w:rsidRDefault="00793591" w:rsidP="00E32BD2">
            <w:pPr>
              <w:rPr>
                <w:rFonts w:cs="Frutiger LT 57 Cn"/>
                <w:sz w:val="20"/>
                <w:szCs w:val="20"/>
                <w:lang w:val="en-US"/>
              </w:rPr>
            </w:pPr>
            <w:r w:rsidRPr="00136A50">
              <w:rPr>
                <w:rFonts w:cs="Frutiger LT 57 Cn"/>
                <w:b/>
                <w:bCs/>
                <w:sz w:val="20"/>
                <w:szCs w:val="20"/>
                <w:lang w:val="en-US"/>
              </w:rPr>
              <w:t>Poliovirus serotype 3</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Seroconversion after 1</w:t>
            </w:r>
            <w:r w:rsidRPr="00136A50">
              <w:rPr>
                <w:rFonts w:cs="Frutiger LT 57 Cn"/>
                <w:sz w:val="20"/>
                <w:szCs w:val="20"/>
                <w:vertAlign w:val="superscript"/>
                <w:lang w:val="en-US"/>
              </w:rPr>
              <w:t>st</w:t>
            </w:r>
            <w:r w:rsidRPr="00136A50">
              <w:rPr>
                <w:rFonts w:cs="Frutiger LT 57 Cn"/>
                <w:sz w:val="20"/>
                <w:szCs w:val="20"/>
                <w:lang w:val="en-US"/>
              </w:rPr>
              <w:t xml:space="preserve"> dose,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23/157 (14.6)</w:t>
            </w:r>
          </w:p>
        </w:tc>
        <w:tc>
          <w:tcPr>
            <w:tcW w:w="3081" w:type="dxa"/>
          </w:tcPr>
          <w:p w:rsidR="00793591" w:rsidRPr="00136A50" w:rsidRDefault="00793591" w:rsidP="00E32BD2">
            <w:pPr>
              <w:rPr>
                <w:rFonts w:cs="Frutiger LT 57 Cn"/>
                <w:sz w:val="20"/>
                <w:szCs w:val="20"/>
                <w:lang w:val="en-US"/>
              </w:rPr>
            </w:pPr>
            <w:r w:rsidRPr="00136A50">
              <w:rPr>
                <w:sz w:val="20"/>
                <w:szCs w:val="20"/>
              </w:rPr>
              <w:t>49/153 (32.0)</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 xml:space="preserve">Priming response,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120/134 (89.6)</w:t>
            </w:r>
          </w:p>
        </w:tc>
        <w:tc>
          <w:tcPr>
            <w:tcW w:w="3081" w:type="dxa"/>
          </w:tcPr>
          <w:p w:rsidR="00793591" w:rsidRPr="00136A50" w:rsidRDefault="00793591" w:rsidP="00E32BD2">
            <w:pPr>
              <w:rPr>
                <w:rFonts w:cs="Frutiger LT 57 Cn"/>
                <w:sz w:val="20"/>
                <w:szCs w:val="20"/>
                <w:lang w:val="en-US"/>
              </w:rPr>
            </w:pPr>
            <w:r w:rsidRPr="00136A50">
              <w:rPr>
                <w:sz w:val="20"/>
                <w:szCs w:val="20"/>
              </w:rPr>
              <w:t>102/104 (98.1)</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 xml:space="preserve">Seroconversion between visits 3-4,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3/14 (21.4)</w:t>
            </w:r>
          </w:p>
        </w:tc>
        <w:tc>
          <w:tcPr>
            <w:tcW w:w="3081" w:type="dxa"/>
          </w:tcPr>
          <w:p w:rsidR="00793591" w:rsidRPr="00136A50" w:rsidRDefault="00793591" w:rsidP="00E32BD2">
            <w:pPr>
              <w:rPr>
                <w:rFonts w:cs="Frutiger LT 57 Cn"/>
                <w:sz w:val="20"/>
                <w:szCs w:val="20"/>
                <w:lang w:val="en-US"/>
              </w:rPr>
            </w:pPr>
            <w:r w:rsidRPr="00136A50">
              <w:rPr>
                <w:sz w:val="20"/>
                <w:szCs w:val="20"/>
              </w:rPr>
              <w:t>1/2 (50.0)</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Seroconversion after 2</w:t>
            </w:r>
            <w:r w:rsidRPr="00136A50">
              <w:rPr>
                <w:rFonts w:cs="Frutiger LT 57 Cn"/>
                <w:sz w:val="20"/>
                <w:szCs w:val="20"/>
                <w:vertAlign w:val="superscript"/>
                <w:lang w:val="en-US"/>
              </w:rPr>
              <w:t>nd</w:t>
            </w:r>
            <w:r w:rsidRPr="00136A50">
              <w:rPr>
                <w:rFonts w:cs="Frutiger LT 57 Cn"/>
                <w:sz w:val="20"/>
                <w:szCs w:val="20"/>
                <w:lang w:val="en-US"/>
              </w:rPr>
              <w:t xml:space="preserve"> dose,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123/134 (91.8)</w:t>
            </w:r>
          </w:p>
        </w:tc>
        <w:tc>
          <w:tcPr>
            <w:tcW w:w="3081" w:type="dxa"/>
          </w:tcPr>
          <w:p w:rsidR="00793591" w:rsidRPr="00136A50" w:rsidRDefault="00793591" w:rsidP="00E32BD2">
            <w:pPr>
              <w:rPr>
                <w:rFonts w:cs="Frutiger LT 57 Cn"/>
                <w:sz w:val="20"/>
                <w:szCs w:val="20"/>
                <w:lang w:val="en-US"/>
              </w:rPr>
            </w:pPr>
            <w:r w:rsidRPr="00136A50">
              <w:rPr>
                <w:sz w:val="20"/>
                <w:szCs w:val="20"/>
              </w:rPr>
              <w:t>103/104 (99.0)</w:t>
            </w:r>
          </w:p>
        </w:tc>
      </w:tr>
      <w:tr w:rsidR="00793591" w:rsidRPr="00136A50" w:rsidTr="00E32BD2">
        <w:tc>
          <w:tcPr>
            <w:tcW w:w="3539" w:type="dxa"/>
          </w:tcPr>
          <w:p w:rsidR="00793591" w:rsidRPr="00136A50" w:rsidRDefault="00793591" w:rsidP="00E32BD2">
            <w:pPr>
              <w:rPr>
                <w:rFonts w:cs="Frutiger LT 57 Cn"/>
                <w:sz w:val="20"/>
                <w:szCs w:val="20"/>
                <w:lang w:val="en-US"/>
              </w:rPr>
            </w:pPr>
            <w:r w:rsidRPr="00136A50">
              <w:rPr>
                <w:rFonts w:cs="Frutiger LT 57 Cn"/>
                <w:sz w:val="20"/>
                <w:szCs w:val="20"/>
                <w:lang w:val="en-US"/>
              </w:rPr>
              <w:t xml:space="preserve">Cumulative seroconversion, </w:t>
            </w:r>
            <w:r w:rsidRPr="00136A50">
              <w:rPr>
                <w:rFonts w:cs="Frutiger LT 57 Cn"/>
                <w:i/>
                <w:iCs/>
                <w:sz w:val="20"/>
                <w:szCs w:val="20"/>
                <w:lang w:val="en-US"/>
              </w:rPr>
              <w:t xml:space="preserve">n </w:t>
            </w:r>
            <w:r w:rsidRPr="00136A50">
              <w:rPr>
                <w:rFonts w:cs="Frutiger LT 57 Cn"/>
                <w:sz w:val="20"/>
                <w:szCs w:val="20"/>
                <w:lang w:val="en-US"/>
              </w:rPr>
              <w:t>(%)</w:t>
            </w:r>
          </w:p>
        </w:tc>
        <w:tc>
          <w:tcPr>
            <w:tcW w:w="3081" w:type="dxa"/>
          </w:tcPr>
          <w:p w:rsidR="00793591" w:rsidRPr="00136A50" w:rsidRDefault="00793591" w:rsidP="00E32BD2">
            <w:pPr>
              <w:rPr>
                <w:rFonts w:cs="Frutiger LT 57 Cn"/>
                <w:sz w:val="20"/>
                <w:szCs w:val="20"/>
                <w:lang w:val="en-US"/>
              </w:rPr>
            </w:pPr>
            <w:r w:rsidRPr="00136A50">
              <w:rPr>
                <w:sz w:val="20"/>
                <w:szCs w:val="20"/>
              </w:rPr>
              <w:t>146/157 (93.0)</w:t>
            </w:r>
          </w:p>
        </w:tc>
        <w:tc>
          <w:tcPr>
            <w:tcW w:w="3081" w:type="dxa"/>
          </w:tcPr>
          <w:p w:rsidR="00793591" w:rsidRPr="00136A50" w:rsidRDefault="00793591" w:rsidP="00E32BD2">
            <w:pPr>
              <w:rPr>
                <w:rFonts w:cs="Frutiger LT 57 Cn"/>
                <w:sz w:val="20"/>
                <w:szCs w:val="20"/>
                <w:lang w:val="en-US"/>
              </w:rPr>
            </w:pPr>
            <w:r w:rsidRPr="00136A50">
              <w:rPr>
                <w:sz w:val="20"/>
                <w:szCs w:val="20"/>
              </w:rPr>
              <w:t>152/153 (99.3)</w:t>
            </w:r>
          </w:p>
        </w:tc>
      </w:tr>
    </w:tbl>
    <w:p w:rsidR="00793591" w:rsidRPr="00136A50" w:rsidRDefault="00793591" w:rsidP="00793591">
      <w:pPr>
        <w:rPr>
          <w:rFonts w:cs="Frutiger LT 57 Cn"/>
          <w:sz w:val="20"/>
          <w:szCs w:val="20"/>
          <w:lang w:val="en-US"/>
        </w:rPr>
      </w:pPr>
    </w:p>
    <w:p w:rsidR="00793591" w:rsidRPr="00136A50" w:rsidRDefault="00793591" w:rsidP="00793591">
      <w:pPr>
        <w:rPr>
          <w:rFonts w:cs="Frutiger LT 57 Cn"/>
          <w:sz w:val="20"/>
          <w:szCs w:val="20"/>
          <w:lang w:val="en-US"/>
        </w:rPr>
      </w:pPr>
    </w:p>
    <w:p w:rsidR="00793591" w:rsidRDefault="00793591">
      <w:pPr>
        <w:rPr>
          <w:sz w:val="20"/>
          <w:szCs w:val="20"/>
        </w:rPr>
      </w:pPr>
    </w:p>
    <w:p w:rsidR="00136A50" w:rsidRDefault="00136A50">
      <w:pPr>
        <w:rPr>
          <w:sz w:val="20"/>
          <w:szCs w:val="20"/>
        </w:rPr>
      </w:pPr>
    </w:p>
    <w:p w:rsidR="00136A50" w:rsidRDefault="00136A50">
      <w:pPr>
        <w:rPr>
          <w:sz w:val="20"/>
          <w:szCs w:val="20"/>
        </w:rPr>
      </w:pPr>
    </w:p>
    <w:p w:rsidR="00136A50" w:rsidRPr="00136A50" w:rsidRDefault="00136A50" w:rsidP="00136A50">
      <w:pPr>
        <w:pStyle w:val="FootnoteText"/>
        <w:rPr>
          <w:b/>
          <w:bCs/>
        </w:rPr>
      </w:pPr>
      <w:r w:rsidRPr="00136A50">
        <w:rPr>
          <w:rFonts w:cs="Frutiger LT 57 Cn"/>
          <w:b/>
          <w:bCs/>
          <w:lang w:val="en-US"/>
        </w:rPr>
        <w:lastRenderedPageBreak/>
        <w:t>Anand A et al. Early priming with inactivated poliovirus vaccine (IPV) and intradermal fractional dose IPV administered by a microneedle device: A randomized controlled trial. Vaccine 2015; 33(48):6816-22</w:t>
      </w:r>
      <w:r w:rsidRPr="00136A50">
        <w:rPr>
          <w:b/>
          <w:bCs/>
        </w:rPr>
        <w:t>.</w:t>
      </w:r>
    </w:p>
    <w:p w:rsidR="00136A50" w:rsidRPr="00136A50" w:rsidRDefault="00136A50" w:rsidP="00136A50">
      <w:pPr>
        <w:pStyle w:val="FootnoteText"/>
        <w:rPr>
          <w:b/>
          <w:bCs/>
        </w:rPr>
      </w:pPr>
    </w:p>
    <w:p w:rsidR="00136A50" w:rsidRPr="00136A50" w:rsidRDefault="00136A50" w:rsidP="00136A50">
      <w:pPr>
        <w:pStyle w:val="Heading4"/>
        <w:shd w:val="clear" w:color="auto" w:fill="FFFFFF"/>
        <w:spacing w:before="0" w:line="270" w:lineRule="atLeast"/>
        <w:ind w:right="60"/>
        <w:rPr>
          <w:rFonts w:asciiTheme="minorHAnsi" w:hAnsiTheme="minorHAnsi" w:cs="Arial"/>
          <w:b w:val="0"/>
          <w:bCs w:val="0"/>
          <w:i w:val="0"/>
          <w:iCs w:val="0"/>
          <w:color w:val="auto"/>
          <w:sz w:val="20"/>
          <w:szCs w:val="20"/>
        </w:rPr>
      </w:pPr>
      <w:r w:rsidRPr="00136A50">
        <w:rPr>
          <w:rFonts w:asciiTheme="minorHAnsi" w:hAnsiTheme="minorHAnsi" w:cs="Arial"/>
          <w:i w:val="0"/>
          <w:iCs w:val="0"/>
          <w:caps/>
          <w:color w:val="auto"/>
          <w:sz w:val="20"/>
          <w:szCs w:val="20"/>
        </w:rPr>
        <w:t>I</w:t>
      </w:r>
      <w:r w:rsidRPr="00136A50">
        <w:rPr>
          <w:rFonts w:asciiTheme="minorHAnsi" w:hAnsiTheme="minorHAnsi" w:cs="Arial"/>
          <w:i w:val="0"/>
          <w:iCs w:val="0"/>
          <w:color w:val="auto"/>
          <w:sz w:val="20"/>
          <w:szCs w:val="20"/>
        </w:rPr>
        <w:t>ntroduction:</w:t>
      </w:r>
      <w:r w:rsidRPr="00136A50">
        <w:rPr>
          <w:rFonts w:asciiTheme="minorHAnsi" w:hAnsiTheme="minorHAnsi" w:cs="Arial"/>
          <w:b w:val="0"/>
          <w:bCs w:val="0"/>
          <w:i w:val="0"/>
          <w:iCs w:val="0"/>
          <w:color w:val="auto"/>
          <w:sz w:val="20"/>
          <w:szCs w:val="20"/>
        </w:rPr>
        <w:t xml:space="preserve"> Inactivated poliovirus vaccine (IPV) introduction and phased oral poliovirus vaccine (OPV) cessation are essential for eradication of polio. </w:t>
      </w:r>
      <w:r w:rsidRPr="00136A50">
        <w:rPr>
          <w:rFonts w:asciiTheme="minorHAnsi" w:hAnsiTheme="minorHAnsi" w:cs="Arial"/>
          <w:i w:val="0"/>
          <w:iCs w:val="0"/>
          <w:color w:val="auto"/>
          <w:sz w:val="20"/>
          <w:szCs w:val="20"/>
        </w:rPr>
        <w:t>Methods:</w:t>
      </w:r>
      <w:r w:rsidRPr="00136A50">
        <w:rPr>
          <w:rFonts w:asciiTheme="minorHAnsi" w:hAnsiTheme="minorHAnsi" w:cs="Arial"/>
          <w:b w:val="0"/>
          <w:bCs w:val="0"/>
          <w:i w:val="0"/>
          <w:iCs w:val="0"/>
          <w:color w:val="auto"/>
          <w:sz w:val="20"/>
          <w:szCs w:val="20"/>
        </w:rPr>
        <w:t xml:space="preserve"> Healthy 6-week old infants in Bangladesh were randomized to one of five study arms: receipt of trivalent OPV (tOPV) or bivalent OPV (bOPV) at ages 6, 10 and 14 weeks, intramuscular IPV or intradermal one-fifth fractional dose IPV (f-IPV) at ages 6 and 14 weeks, or f-IPV at ages 6 and 14 weeks with bOPV at age 10 weeks (f-IPV/bOPV). All participants received tOPV at age 18 weeks. </w:t>
      </w:r>
      <w:r w:rsidRPr="00136A50">
        <w:rPr>
          <w:rFonts w:asciiTheme="minorHAnsi" w:hAnsiTheme="minorHAnsi" w:cs="Arial"/>
          <w:i w:val="0"/>
          <w:iCs w:val="0"/>
          <w:color w:val="auto"/>
          <w:sz w:val="20"/>
          <w:szCs w:val="20"/>
        </w:rPr>
        <w:t>Results:</w:t>
      </w:r>
      <w:r w:rsidRPr="00136A50">
        <w:rPr>
          <w:rFonts w:asciiTheme="minorHAnsi" w:hAnsiTheme="minorHAnsi" w:cs="Arial"/>
          <w:b w:val="0"/>
          <w:bCs w:val="0"/>
          <w:i w:val="0"/>
          <w:iCs w:val="0"/>
          <w:color w:val="auto"/>
          <w:sz w:val="20"/>
          <w:szCs w:val="20"/>
        </w:rPr>
        <w:t xml:space="preserve"> Of 975 infants randomized, 95% (922) completed follow-up. Type 1 seroconversion after 3 doses at 6, 10 and 14 weeks was higher with bOPV compared with tOPV (99% vs 94%, p=0.019). </w:t>
      </w:r>
      <w:proofErr w:type="spellStart"/>
      <w:r w:rsidRPr="00136A50">
        <w:rPr>
          <w:rFonts w:asciiTheme="minorHAnsi" w:hAnsiTheme="minorHAnsi" w:cs="Arial"/>
          <w:b w:val="0"/>
          <w:bCs w:val="0"/>
          <w:i w:val="0"/>
          <w:iCs w:val="0"/>
          <w:color w:val="auto"/>
          <w:sz w:val="20"/>
          <w:szCs w:val="20"/>
        </w:rPr>
        <w:t>Seroconversions</w:t>
      </w:r>
      <w:proofErr w:type="spellEnd"/>
      <w:r w:rsidRPr="00136A50">
        <w:rPr>
          <w:rFonts w:asciiTheme="minorHAnsi" w:hAnsiTheme="minorHAnsi" w:cs="Arial"/>
          <w:b w:val="0"/>
          <w:bCs w:val="0"/>
          <w:i w:val="0"/>
          <w:iCs w:val="0"/>
          <w:color w:val="auto"/>
          <w:sz w:val="20"/>
          <w:szCs w:val="20"/>
        </w:rPr>
        <w:t xml:space="preserve"> to types 1 and 3 after 2 IPV doses at ages 6 and 14 weeks were no different than after 3 doses of tOPV or bOPV at ages 6, 10 and 14 weeks. A priming response, seroconversion 1 week after IPV at 14 weeks among those who did not seroconvert after IPV at 6 weeks, was observed against poliovirus types 1, 2 and 3 in 91%, 84% and 97%, respectively. Compared with IPV, f-IPV failed non-inferiority tests for seroconversion with 1 or 2 doses and priming after 1 dose. </w:t>
      </w:r>
      <w:r w:rsidRPr="00136A50">
        <w:rPr>
          <w:rFonts w:asciiTheme="minorHAnsi" w:hAnsiTheme="minorHAnsi" w:cs="Arial"/>
          <w:i w:val="0"/>
          <w:iCs w:val="0"/>
          <w:color w:val="auto"/>
          <w:sz w:val="20"/>
          <w:szCs w:val="20"/>
        </w:rPr>
        <w:t>Discussion:</w:t>
      </w:r>
      <w:r w:rsidRPr="00136A50">
        <w:rPr>
          <w:rFonts w:asciiTheme="minorHAnsi" w:hAnsiTheme="minorHAnsi" w:cs="Arial"/>
          <w:b w:val="0"/>
          <w:bCs w:val="0"/>
          <w:i w:val="0"/>
          <w:iCs w:val="0"/>
          <w:color w:val="auto"/>
          <w:sz w:val="20"/>
          <w:szCs w:val="20"/>
        </w:rPr>
        <w:t xml:space="preserve"> The findings demonstrate considerable priming with IPV at age 6 weeks, comparable immunogenicity of tOPV and bOPV, and inferior immunogenicity of one-fifth f-IPV compared with IPV. If IPV induced priming at age 6 weeks is similar to that at age 14 weeks, IPV could be administered at a younger age and possibly with a higher coverage.</w:t>
      </w:r>
    </w:p>
    <w:p w:rsidR="00136A50" w:rsidRPr="00136A50" w:rsidRDefault="00136A50" w:rsidP="00136A50">
      <w:pPr>
        <w:pStyle w:val="Heading4"/>
        <w:shd w:val="clear" w:color="auto" w:fill="FFFFFF"/>
        <w:spacing w:before="0" w:line="270" w:lineRule="atLeast"/>
        <w:ind w:right="60"/>
        <w:rPr>
          <w:rFonts w:asciiTheme="minorHAnsi" w:hAnsiTheme="minorHAnsi" w:cs="Arial"/>
          <w:b w:val="0"/>
          <w:bCs w:val="0"/>
          <w:i w:val="0"/>
          <w:iCs w:val="0"/>
          <w:caps/>
          <w:color w:val="auto"/>
          <w:sz w:val="20"/>
          <w:szCs w:val="20"/>
        </w:rPr>
      </w:pPr>
    </w:p>
    <w:tbl>
      <w:tblPr>
        <w:tblStyle w:val="TableGrid"/>
        <w:tblW w:w="10268" w:type="dxa"/>
        <w:tblInd w:w="-610" w:type="dxa"/>
        <w:tblLook w:val="04A0" w:firstRow="1" w:lastRow="0" w:firstColumn="1" w:lastColumn="0" w:noHBand="0" w:noVBand="1"/>
      </w:tblPr>
      <w:tblGrid>
        <w:gridCol w:w="2566"/>
        <w:gridCol w:w="1540"/>
        <w:gridCol w:w="1540"/>
        <w:gridCol w:w="1540"/>
        <w:gridCol w:w="1541"/>
        <w:gridCol w:w="1541"/>
      </w:tblGrid>
      <w:tr w:rsidR="00136A50" w:rsidRPr="00136A50" w:rsidTr="00E32BD2">
        <w:tc>
          <w:tcPr>
            <w:tcW w:w="2566" w:type="dxa"/>
          </w:tcPr>
          <w:p w:rsidR="00136A50" w:rsidRPr="00136A50" w:rsidRDefault="00136A50" w:rsidP="00E32BD2">
            <w:pPr>
              <w:rPr>
                <w:rFonts w:cs="Frutiger LT 57 Cn"/>
                <w:sz w:val="20"/>
                <w:szCs w:val="20"/>
                <w:lang w:val="en-US"/>
              </w:rPr>
            </w:pP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Trivalent OPV</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Bivalent OPV</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IM IPV</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ID fractional IPV</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ID fractional IPV + bivalent OPV</w:t>
            </w:r>
          </w:p>
        </w:tc>
      </w:tr>
      <w:tr w:rsidR="00136A50" w:rsidRPr="00136A50" w:rsidTr="00E32BD2">
        <w:tc>
          <w:tcPr>
            <w:tcW w:w="10268" w:type="dxa"/>
            <w:gridSpan w:val="6"/>
          </w:tcPr>
          <w:p w:rsidR="00136A50" w:rsidRPr="00136A50" w:rsidRDefault="00136A50" w:rsidP="00E32BD2">
            <w:pPr>
              <w:rPr>
                <w:rFonts w:cs="Frutiger LT 57 Cn"/>
                <w:b/>
                <w:bCs/>
                <w:sz w:val="20"/>
                <w:szCs w:val="20"/>
                <w:lang w:val="en-US"/>
              </w:rPr>
            </w:pPr>
            <w:r w:rsidRPr="00136A50">
              <w:rPr>
                <w:rFonts w:cs="Frutiger LT 57 Cn"/>
                <w:b/>
                <w:bCs/>
                <w:sz w:val="20"/>
                <w:szCs w:val="20"/>
                <w:lang w:val="en-US"/>
              </w:rPr>
              <w:t>Serotype 1</w:t>
            </w: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Seroconversion by 14 weeks, n (%)</w:t>
            </w:r>
          </w:p>
        </w:tc>
        <w:tc>
          <w:tcPr>
            <w:tcW w:w="1540" w:type="dxa"/>
          </w:tcPr>
          <w:p w:rsidR="00136A50" w:rsidRPr="00136A50" w:rsidRDefault="00136A50" w:rsidP="00E32BD2">
            <w:pPr>
              <w:rPr>
                <w:rFonts w:cs="Frutiger LT 57 Cn"/>
                <w:sz w:val="20"/>
                <w:szCs w:val="20"/>
                <w:lang w:val="en-US"/>
              </w:rPr>
            </w:pPr>
            <w:r w:rsidRPr="00136A50">
              <w:rPr>
                <w:sz w:val="20"/>
                <w:szCs w:val="20"/>
              </w:rPr>
              <w:t>178/205 (86.8)</w:t>
            </w:r>
          </w:p>
        </w:tc>
        <w:tc>
          <w:tcPr>
            <w:tcW w:w="1540" w:type="dxa"/>
          </w:tcPr>
          <w:p w:rsidR="00136A50" w:rsidRPr="00136A50" w:rsidRDefault="00136A50" w:rsidP="00E32BD2">
            <w:pPr>
              <w:rPr>
                <w:rFonts w:cs="Frutiger LT 57 Cn"/>
                <w:sz w:val="20"/>
                <w:szCs w:val="20"/>
                <w:lang w:val="en-US"/>
              </w:rPr>
            </w:pPr>
            <w:r w:rsidRPr="00136A50">
              <w:rPr>
                <w:sz w:val="20"/>
                <w:szCs w:val="20"/>
              </w:rPr>
              <w:t>189/203 (</w:t>
            </w:r>
            <w:r w:rsidRPr="00136A50">
              <w:rPr>
                <w:rFonts w:cs="Frutiger LT 57 Cn"/>
                <w:sz w:val="20"/>
                <w:szCs w:val="20"/>
                <w:lang w:val="en-US"/>
              </w:rPr>
              <w:t>93.1)</w:t>
            </w:r>
          </w:p>
        </w:tc>
        <w:tc>
          <w:tcPr>
            <w:tcW w:w="1540" w:type="dxa"/>
          </w:tcPr>
          <w:p w:rsidR="00136A50" w:rsidRPr="00136A50" w:rsidRDefault="00136A50" w:rsidP="00E32BD2">
            <w:pPr>
              <w:rPr>
                <w:rFonts w:cs="Frutiger LT 57 Cn"/>
                <w:sz w:val="20"/>
                <w:szCs w:val="20"/>
                <w:lang w:val="en-US"/>
              </w:rPr>
            </w:pPr>
            <w:r w:rsidRPr="00136A50">
              <w:rPr>
                <w:sz w:val="20"/>
                <w:szCs w:val="20"/>
              </w:rPr>
              <w:t>57/161 (</w:t>
            </w:r>
            <w:r w:rsidRPr="00136A50">
              <w:rPr>
                <w:rFonts w:cs="Frutiger LT 57 Cn"/>
                <w:sz w:val="20"/>
                <w:szCs w:val="20"/>
                <w:lang w:val="en-US"/>
              </w:rPr>
              <w:t>35.4)</w:t>
            </w:r>
          </w:p>
        </w:tc>
        <w:tc>
          <w:tcPr>
            <w:tcW w:w="1541" w:type="dxa"/>
          </w:tcPr>
          <w:p w:rsidR="00136A50" w:rsidRPr="00136A50" w:rsidRDefault="00136A50" w:rsidP="00E32BD2">
            <w:pPr>
              <w:rPr>
                <w:rFonts w:cs="Frutiger LT 57 Cn"/>
                <w:sz w:val="20"/>
                <w:szCs w:val="20"/>
                <w:lang w:val="en-US"/>
              </w:rPr>
            </w:pPr>
            <w:r w:rsidRPr="00136A50">
              <w:rPr>
                <w:sz w:val="20"/>
                <w:szCs w:val="20"/>
              </w:rPr>
              <w:t>20/155 (</w:t>
            </w:r>
            <w:r w:rsidRPr="00136A50">
              <w:rPr>
                <w:rFonts w:cs="Frutiger LT 57 Cn"/>
                <w:sz w:val="20"/>
                <w:szCs w:val="20"/>
                <w:lang w:val="en-US"/>
              </w:rPr>
              <w:t>12.9)</w:t>
            </w:r>
          </w:p>
        </w:tc>
        <w:tc>
          <w:tcPr>
            <w:tcW w:w="1541" w:type="dxa"/>
          </w:tcPr>
          <w:p w:rsidR="00136A50" w:rsidRPr="00136A50" w:rsidRDefault="00136A50" w:rsidP="00E32BD2">
            <w:pPr>
              <w:rPr>
                <w:rFonts w:cs="Frutiger LT 57 Cn"/>
                <w:sz w:val="20"/>
                <w:szCs w:val="20"/>
                <w:lang w:val="en-US"/>
              </w:rPr>
            </w:pPr>
            <w:r w:rsidRPr="00136A50">
              <w:rPr>
                <w:sz w:val="20"/>
                <w:szCs w:val="20"/>
              </w:rPr>
              <w:t>173/211 (</w:t>
            </w:r>
            <w:r w:rsidRPr="00136A50">
              <w:rPr>
                <w:rFonts w:cs="Frutiger LT 57 Cn"/>
                <w:sz w:val="20"/>
                <w:szCs w:val="20"/>
                <w:lang w:val="en-US"/>
              </w:rPr>
              <w:t>82.0)</w:t>
            </w: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Priming response by 15 weeks, n (%)</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c>
          <w:tcPr>
            <w:tcW w:w="1540" w:type="dxa"/>
          </w:tcPr>
          <w:p w:rsidR="00136A50" w:rsidRPr="00136A50" w:rsidRDefault="00136A50" w:rsidP="00E32BD2">
            <w:pPr>
              <w:rPr>
                <w:rFonts w:cs="Frutiger LT 57 Cn"/>
                <w:sz w:val="20"/>
                <w:szCs w:val="20"/>
                <w:lang w:val="en-US"/>
              </w:rPr>
            </w:pPr>
            <w:r w:rsidRPr="00136A50">
              <w:rPr>
                <w:sz w:val="20"/>
                <w:szCs w:val="20"/>
              </w:rPr>
              <w:t>78/86 (</w:t>
            </w:r>
            <w:r w:rsidRPr="00136A50">
              <w:rPr>
                <w:rFonts w:cs="Frutiger LT 57 Cn"/>
                <w:sz w:val="20"/>
                <w:szCs w:val="20"/>
                <w:lang w:val="en-US"/>
              </w:rPr>
              <w:t>90.7)</w:t>
            </w:r>
          </w:p>
        </w:tc>
        <w:tc>
          <w:tcPr>
            <w:tcW w:w="1541" w:type="dxa"/>
          </w:tcPr>
          <w:p w:rsidR="00136A50" w:rsidRPr="00136A50" w:rsidRDefault="00136A50" w:rsidP="00E32BD2">
            <w:pPr>
              <w:rPr>
                <w:rFonts w:cs="Frutiger LT 57 Cn"/>
                <w:sz w:val="20"/>
                <w:szCs w:val="20"/>
                <w:lang w:val="en-US"/>
              </w:rPr>
            </w:pPr>
            <w:r w:rsidRPr="00136A50">
              <w:rPr>
                <w:sz w:val="20"/>
                <w:szCs w:val="20"/>
              </w:rPr>
              <w:t>91/109 (</w:t>
            </w:r>
            <w:r w:rsidRPr="00136A50">
              <w:rPr>
                <w:rFonts w:cs="Frutiger LT 57 Cn"/>
                <w:sz w:val="20"/>
                <w:szCs w:val="20"/>
                <w:lang w:val="en-US"/>
              </w:rPr>
              <w:t>83.5)</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Cumulative effect of one dose (priming and seroconversion</w:t>
            </w:r>
            <w:proofErr w:type="gramStart"/>
            <w:r w:rsidRPr="00136A50">
              <w:rPr>
                <w:rFonts w:cs="Frutiger LT 57 Cn"/>
                <w:sz w:val="20"/>
                <w:szCs w:val="20"/>
                <w:lang w:val="en-US"/>
              </w:rPr>
              <w:t>) ,</w:t>
            </w:r>
            <w:proofErr w:type="gramEnd"/>
            <w:r w:rsidRPr="00136A50">
              <w:rPr>
                <w:rFonts w:cs="Frutiger LT 57 Cn"/>
                <w:sz w:val="20"/>
                <w:szCs w:val="20"/>
                <w:lang w:val="en-US"/>
              </w:rPr>
              <w:t xml:space="preserve"> n (%)</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c>
          <w:tcPr>
            <w:tcW w:w="1540" w:type="dxa"/>
          </w:tcPr>
          <w:p w:rsidR="00136A50" w:rsidRPr="00136A50" w:rsidRDefault="00136A50" w:rsidP="00E32BD2">
            <w:pPr>
              <w:rPr>
                <w:rFonts w:cs="Frutiger LT 57 Cn"/>
                <w:sz w:val="20"/>
                <w:szCs w:val="20"/>
                <w:lang w:val="en-US"/>
              </w:rPr>
            </w:pPr>
            <w:r w:rsidRPr="00136A50">
              <w:rPr>
                <w:sz w:val="20"/>
                <w:szCs w:val="20"/>
              </w:rPr>
              <w:t>124/132 (</w:t>
            </w:r>
            <w:r w:rsidRPr="00136A50">
              <w:rPr>
                <w:rFonts w:cs="Frutiger LT 57 Cn"/>
                <w:sz w:val="20"/>
                <w:szCs w:val="20"/>
                <w:lang w:val="en-US"/>
              </w:rPr>
              <w:t>93.9)</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85.9 (</w:t>
            </w:r>
            <w:r w:rsidRPr="00136A50">
              <w:rPr>
                <w:sz w:val="20"/>
                <w:szCs w:val="20"/>
              </w:rPr>
              <w:t>110/128)</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Seroconversion by 18 weeks, n (%)</w:t>
            </w:r>
          </w:p>
        </w:tc>
        <w:tc>
          <w:tcPr>
            <w:tcW w:w="1540" w:type="dxa"/>
          </w:tcPr>
          <w:p w:rsidR="00136A50" w:rsidRPr="00136A50" w:rsidRDefault="00136A50" w:rsidP="00E32BD2">
            <w:pPr>
              <w:rPr>
                <w:rFonts w:cs="Frutiger LT 57 Cn"/>
                <w:sz w:val="20"/>
                <w:szCs w:val="20"/>
                <w:lang w:val="en-US"/>
              </w:rPr>
            </w:pPr>
            <w:r w:rsidRPr="00136A50">
              <w:rPr>
                <w:sz w:val="20"/>
                <w:szCs w:val="20"/>
              </w:rPr>
              <w:t>190/203 (</w:t>
            </w:r>
            <w:r w:rsidRPr="00136A50">
              <w:rPr>
                <w:rFonts w:cs="Frutiger LT 57 Cn"/>
                <w:sz w:val="20"/>
                <w:szCs w:val="20"/>
                <w:lang w:val="en-US"/>
              </w:rPr>
              <w:t>93.6</w:t>
            </w:r>
            <w:r w:rsidRPr="00136A50">
              <w:rPr>
                <w:sz w:val="20"/>
                <w:szCs w:val="20"/>
              </w:rPr>
              <w:t>)</w:t>
            </w:r>
          </w:p>
        </w:tc>
        <w:tc>
          <w:tcPr>
            <w:tcW w:w="1540" w:type="dxa"/>
          </w:tcPr>
          <w:p w:rsidR="00136A50" w:rsidRPr="00136A50" w:rsidRDefault="00136A50" w:rsidP="00E32BD2">
            <w:pPr>
              <w:rPr>
                <w:rFonts w:cs="Frutiger LT 57 Cn"/>
                <w:sz w:val="20"/>
                <w:szCs w:val="20"/>
                <w:lang w:val="en-US"/>
              </w:rPr>
            </w:pPr>
            <w:r w:rsidRPr="00136A50">
              <w:rPr>
                <w:sz w:val="20"/>
                <w:szCs w:val="20"/>
              </w:rPr>
              <w:t>197/200 (</w:t>
            </w:r>
            <w:r w:rsidRPr="00136A50">
              <w:rPr>
                <w:rFonts w:cs="Frutiger LT 57 Cn"/>
                <w:sz w:val="20"/>
                <w:szCs w:val="20"/>
                <w:lang w:val="en-US"/>
              </w:rPr>
              <w:t>98.5</w:t>
            </w:r>
            <w:r w:rsidRPr="00136A50">
              <w:rPr>
                <w:sz w:val="20"/>
                <w:szCs w:val="20"/>
              </w:rPr>
              <w:t>)</w:t>
            </w:r>
          </w:p>
        </w:tc>
        <w:tc>
          <w:tcPr>
            <w:tcW w:w="1540" w:type="dxa"/>
          </w:tcPr>
          <w:p w:rsidR="00136A50" w:rsidRPr="00136A50" w:rsidRDefault="00136A50" w:rsidP="00E32BD2">
            <w:pPr>
              <w:rPr>
                <w:rFonts w:cs="Frutiger LT 57 Cn"/>
                <w:sz w:val="20"/>
                <w:szCs w:val="20"/>
                <w:lang w:val="en-US"/>
              </w:rPr>
            </w:pPr>
            <w:r w:rsidRPr="00136A50">
              <w:rPr>
                <w:sz w:val="20"/>
                <w:szCs w:val="20"/>
              </w:rPr>
              <w:t>148/156 (</w:t>
            </w:r>
            <w:r w:rsidRPr="00136A50">
              <w:rPr>
                <w:rFonts w:cs="Frutiger LT 57 Cn"/>
                <w:sz w:val="20"/>
                <w:szCs w:val="20"/>
                <w:lang w:val="en-US"/>
              </w:rPr>
              <w:t>94.9</w:t>
            </w:r>
            <w:r w:rsidRPr="00136A50">
              <w:rPr>
                <w:sz w:val="20"/>
                <w:szCs w:val="20"/>
              </w:rPr>
              <w:t>)</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87.5 (</w:t>
            </w:r>
            <w:r w:rsidRPr="00136A50">
              <w:rPr>
                <w:sz w:val="20"/>
                <w:szCs w:val="20"/>
              </w:rPr>
              <w:t>133/152)</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95.7 (</w:t>
            </w:r>
            <w:r w:rsidRPr="00136A50">
              <w:rPr>
                <w:sz w:val="20"/>
                <w:szCs w:val="20"/>
              </w:rPr>
              <w:t>202/211)</w:t>
            </w:r>
          </w:p>
        </w:tc>
      </w:tr>
      <w:tr w:rsidR="00136A50" w:rsidRPr="00136A50" w:rsidTr="00E32BD2">
        <w:tc>
          <w:tcPr>
            <w:tcW w:w="10268" w:type="dxa"/>
            <w:gridSpan w:val="6"/>
          </w:tcPr>
          <w:p w:rsidR="00136A50" w:rsidRPr="00136A50" w:rsidRDefault="00136A50" w:rsidP="00E32BD2">
            <w:pPr>
              <w:rPr>
                <w:rFonts w:cs="Frutiger LT 57 Cn"/>
                <w:b/>
                <w:bCs/>
                <w:sz w:val="20"/>
                <w:szCs w:val="20"/>
                <w:lang w:val="en-US"/>
              </w:rPr>
            </w:pPr>
            <w:r w:rsidRPr="00136A50">
              <w:rPr>
                <w:rFonts w:cs="Frutiger LT 57 Cn"/>
                <w:b/>
                <w:bCs/>
                <w:sz w:val="20"/>
                <w:szCs w:val="20"/>
                <w:lang w:val="en-US"/>
              </w:rPr>
              <w:t>Serotype 2</w:t>
            </w: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Seroconversion by 14 weeks, n (%)</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92.7 (</w:t>
            </w:r>
            <w:r w:rsidRPr="00136A50">
              <w:rPr>
                <w:sz w:val="20"/>
                <w:szCs w:val="20"/>
              </w:rPr>
              <w:t>190/205)</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6.9 (</w:t>
            </w:r>
            <w:r w:rsidRPr="00136A50">
              <w:rPr>
                <w:sz w:val="20"/>
                <w:szCs w:val="20"/>
              </w:rPr>
              <w:t>14/203)</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highlight w:val="yellow"/>
                <w:lang w:val="en-US"/>
              </w:rPr>
              <w:t>38.5 (</w:t>
            </w:r>
            <w:r w:rsidRPr="00136A50">
              <w:rPr>
                <w:sz w:val="20"/>
                <w:szCs w:val="20"/>
                <w:highlight w:val="yellow"/>
              </w:rPr>
              <w:t>62/161)</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19.4 (</w:t>
            </w:r>
            <w:r w:rsidRPr="00136A50">
              <w:rPr>
                <w:sz w:val="20"/>
                <w:szCs w:val="20"/>
              </w:rPr>
              <w:t>30/155)</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25.1 (</w:t>
            </w:r>
            <w:r w:rsidRPr="00136A50">
              <w:rPr>
                <w:sz w:val="20"/>
                <w:szCs w:val="20"/>
              </w:rPr>
              <w:t>53/211)</w:t>
            </w: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Priming response by 15 weeks, n (%)</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83.5 (</w:t>
            </w:r>
            <w:r w:rsidRPr="00136A50">
              <w:rPr>
                <w:sz w:val="20"/>
                <w:szCs w:val="20"/>
              </w:rPr>
              <w:t>66/79)</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72.3 (</w:t>
            </w:r>
            <w:r w:rsidRPr="00136A50">
              <w:rPr>
                <w:sz w:val="20"/>
                <w:szCs w:val="20"/>
              </w:rPr>
              <w:t>73/101)</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Cumulative effect of one dose (priming and seroconversion), n (%)</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90.2 (</w:t>
            </w:r>
            <w:r w:rsidRPr="00136A50">
              <w:rPr>
                <w:sz w:val="20"/>
                <w:szCs w:val="20"/>
              </w:rPr>
              <w:t>119/132)</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78.1 (</w:t>
            </w:r>
            <w:r w:rsidRPr="00136A50">
              <w:rPr>
                <w:sz w:val="20"/>
                <w:szCs w:val="20"/>
              </w:rPr>
              <w:t>100/128)</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w:t>
            </w: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Seroconversion by 18 weeks, n (%)</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98.5 (</w:t>
            </w:r>
            <w:r w:rsidRPr="00136A50">
              <w:rPr>
                <w:sz w:val="20"/>
                <w:szCs w:val="20"/>
              </w:rPr>
              <w:t>200/203)</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14 (</w:t>
            </w:r>
            <w:r w:rsidRPr="00136A50">
              <w:rPr>
                <w:sz w:val="20"/>
                <w:szCs w:val="20"/>
              </w:rPr>
              <w:t>28/200)</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91 (</w:t>
            </w:r>
            <w:r w:rsidRPr="00136A50">
              <w:rPr>
                <w:sz w:val="20"/>
                <w:szCs w:val="20"/>
              </w:rPr>
              <w:t>142/156)</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highlight w:val="yellow"/>
                <w:lang w:val="en-US"/>
              </w:rPr>
              <w:t>80.9 (</w:t>
            </w:r>
            <w:r w:rsidRPr="00136A50">
              <w:rPr>
                <w:sz w:val="20"/>
                <w:szCs w:val="20"/>
                <w:highlight w:val="yellow"/>
              </w:rPr>
              <w:t>123/152)</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81.5 (</w:t>
            </w:r>
            <w:r w:rsidRPr="00136A50">
              <w:rPr>
                <w:sz w:val="20"/>
                <w:szCs w:val="20"/>
              </w:rPr>
              <w:t>172/211)</w:t>
            </w:r>
          </w:p>
        </w:tc>
      </w:tr>
      <w:tr w:rsidR="00136A50" w:rsidRPr="00136A50" w:rsidTr="00E32BD2">
        <w:tc>
          <w:tcPr>
            <w:tcW w:w="10268" w:type="dxa"/>
            <w:gridSpan w:val="6"/>
          </w:tcPr>
          <w:p w:rsidR="00136A50" w:rsidRPr="00136A50" w:rsidRDefault="00136A50" w:rsidP="00E32BD2">
            <w:pPr>
              <w:rPr>
                <w:rFonts w:cs="Frutiger LT 57 Cn"/>
                <w:b/>
                <w:bCs/>
                <w:sz w:val="20"/>
                <w:szCs w:val="20"/>
                <w:lang w:val="en-US"/>
              </w:rPr>
            </w:pPr>
            <w:r w:rsidRPr="00136A50">
              <w:rPr>
                <w:rFonts w:cs="Frutiger LT 57 Cn"/>
                <w:b/>
                <w:bCs/>
                <w:sz w:val="20"/>
                <w:szCs w:val="20"/>
                <w:lang w:val="en-US"/>
              </w:rPr>
              <w:t>Serotype 3</w:t>
            </w: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Seroconversion by 14 weeks, n (%)</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84.9 (</w:t>
            </w:r>
            <w:r w:rsidRPr="00136A50">
              <w:rPr>
                <w:sz w:val="20"/>
                <w:szCs w:val="20"/>
              </w:rPr>
              <w:t>174/205)</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89.2 (</w:t>
            </w:r>
            <w:r w:rsidRPr="00136A50">
              <w:rPr>
                <w:sz w:val="20"/>
                <w:szCs w:val="20"/>
              </w:rPr>
              <w:t>181/203)</w:t>
            </w:r>
          </w:p>
        </w:tc>
        <w:tc>
          <w:tcPr>
            <w:tcW w:w="1540" w:type="dxa"/>
          </w:tcPr>
          <w:p w:rsidR="00136A50" w:rsidRPr="00136A50" w:rsidRDefault="00136A50" w:rsidP="00E32BD2">
            <w:pPr>
              <w:rPr>
                <w:rFonts w:cs="Frutiger LT 57 Cn"/>
                <w:sz w:val="20"/>
                <w:szCs w:val="20"/>
                <w:lang w:val="en-US"/>
              </w:rPr>
            </w:pPr>
            <w:r w:rsidRPr="00136A50">
              <w:rPr>
                <w:rFonts w:cs="Frutiger LT 57 Cn"/>
                <w:sz w:val="20"/>
                <w:szCs w:val="20"/>
                <w:lang w:val="en-US"/>
              </w:rPr>
              <w:t>33.5 (</w:t>
            </w:r>
            <w:r w:rsidRPr="00136A50">
              <w:rPr>
                <w:sz w:val="20"/>
                <w:szCs w:val="20"/>
              </w:rPr>
              <w:t>54/161)</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14.2 (</w:t>
            </w:r>
            <w:r w:rsidRPr="00136A50">
              <w:rPr>
                <w:sz w:val="20"/>
                <w:szCs w:val="20"/>
              </w:rPr>
              <w:t>22/155)</w:t>
            </w:r>
          </w:p>
        </w:tc>
        <w:tc>
          <w:tcPr>
            <w:tcW w:w="1541" w:type="dxa"/>
          </w:tcPr>
          <w:p w:rsidR="00136A50" w:rsidRPr="00136A50" w:rsidRDefault="00136A50" w:rsidP="00E32BD2">
            <w:pPr>
              <w:rPr>
                <w:rFonts w:cs="Frutiger LT 57 Cn"/>
                <w:sz w:val="20"/>
                <w:szCs w:val="20"/>
                <w:lang w:val="en-US"/>
              </w:rPr>
            </w:pPr>
            <w:r w:rsidRPr="00136A50">
              <w:rPr>
                <w:rFonts w:cs="Frutiger LT 57 Cn"/>
                <w:sz w:val="20"/>
                <w:szCs w:val="20"/>
                <w:lang w:val="en-US"/>
              </w:rPr>
              <w:t>72.5 (</w:t>
            </w:r>
            <w:r w:rsidRPr="00136A50">
              <w:rPr>
                <w:sz w:val="20"/>
                <w:szCs w:val="20"/>
              </w:rPr>
              <w:t>153/211)</w:t>
            </w: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Priming response by 15 weeks, n (%)</w:t>
            </w:r>
          </w:p>
        </w:tc>
        <w:tc>
          <w:tcPr>
            <w:tcW w:w="1540" w:type="dxa"/>
          </w:tcPr>
          <w:p w:rsidR="00136A50" w:rsidRPr="00136A50" w:rsidRDefault="00136A50" w:rsidP="00E32BD2">
            <w:pPr>
              <w:rPr>
                <w:rFonts w:cs="Frutiger LT 57 Cn"/>
                <w:sz w:val="20"/>
                <w:szCs w:val="20"/>
                <w:lang w:val="en-US"/>
              </w:rPr>
            </w:pPr>
          </w:p>
        </w:tc>
        <w:tc>
          <w:tcPr>
            <w:tcW w:w="1540" w:type="dxa"/>
          </w:tcPr>
          <w:p w:rsidR="00136A50" w:rsidRPr="00136A50" w:rsidRDefault="00136A50" w:rsidP="00E32BD2">
            <w:pPr>
              <w:rPr>
                <w:rFonts w:cs="Frutiger LT 57 Cn"/>
                <w:sz w:val="20"/>
                <w:szCs w:val="20"/>
                <w:lang w:val="en-US"/>
              </w:rPr>
            </w:pPr>
          </w:p>
        </w:tc>
        <w:tc>
          <w:tcPr>
            <w:tcW w:w="1540" w:type="dxa"/>
          </w:tcPr>
          <w:p w:rsidR="00136A50" w:rsidRPr="00136A50" w:rsidRDefault="00136A50" w:rsidP="00E32BD2">
            <w:pPr>
              <w:rPr>
                <w:rFonts w:cs="Frutiger LT 57 Cn"/>
                <w:sz w:val="20"/>
                <w:szCs w:val="20"/>
                <w:lang w:val="en-US"/>
              </w:rPr>
            </w:pPr>
            <w:r w:rsidRPr="00136A50">
              <w:rPr>
                <w:sz w:val="20"/>
                <w:szCs w:val="20"/>
              </w:rPr>
              <w:t>96.6 (84/87)</w:t>
            </w:r>
          </w:p>
        </w:tc>
        <w:tc>
          <w:tcPr>
            <w:tcW w:w="1541" w:type="dxa"/>
          </w:tcPr>
          <w:p w:rsidR="00136A50" w:rsidRPr="00136A50" w:rsidRDefault="00136A50" w:rsidP="00E32BD2">
            <w:pPr>
              <w:rPr>
                <w:rFonts w:cs="Frutiger LT 57 Cn"/>
                <w:sz w:val="20"/>
                <w:szCs w:val="20"/>
                <w:lang w:val="en-US"/>
              </w:rPr>
            </w:pPr>
            <w:r w:rsidRPr="00136A50">
              <w:rPr>
                <w:sz w:val="20"/>
                <w:szCs w:val="20"/>
              </w:rPr>
              <w:t>87.9 (94/107)</w:t>
            </w:r>
          </w:p>
        </w:tc>
        <w:tc>
          <w:tcPr>
            <w:tcW w:w="1541" w:type="dxa"/>
          </w:tcPr>
          <w:p w:rsidR="00136A50" w:rsidRPr="00136A50" w:rsidRDefault="00136A50" w:rsidP="00E32BD2">
            <w:pPr>
              <w:rPr>
                <w:rFonts w:cs="Frutiger LT 57 Cn"/>
                <w:sz w:val="20"/>
                <w:szCs w:val="20"/>
                <w:lang w:val="en-US"/>
              </w:rPr>
            </w:pP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Cumulative effect of one dose (priming and seroconversion), n (%)</w:t>
            </w:r>
          </w:p>
        </w:tc>
        <w:tc>
          <w:tcPr>
            <w:tcW w:w="1540" w:type="dxa"/>
          </w:tcPr>
          <w:p w:rsidR="00136A50" w:rsidRPr="00136A50" w:rsidRDefault="00136A50" w:rsidP="00E32BD2">
            <w:pPr>
              <w:rPr>
                <w:rFonts w:cs="Frutiger LT 57 Cn"/>
                <w:sz w:val="20"/>
                <w:szCs w:val="20"/>
                <w:lang w:val="en-US"/>
              </w:rPr>
            </w:pPr>
          </w:p>
        </w:tc>
        <w:tc>
          <w:tcPr>
            <w:tcW w:w="1540" w:type="dxa"/>
          </w:tcPr>
          <w:p w:rsidR="00136A50" w:rsidRPr="00136A50" w:rsidRDefault="00136A50" w:rsidP="00E32BD2">
            <w:pPr>
              <w:rPr>
                <w:rFonts w:cs="Frutiger LT 57 Cn"/>
                <w:sz w:val="20"/>
                <w:szCs w:val="20"/>
                <w:lang w:val="en-US"/>
              </w:rPr>
            </w:pPr>
          </w:p>
        </w:tc>
        <w:tc>
          <w:tcPr>
            <w:tcW w:w="1540" w:type="dxa"/>
          </w:tcPr>
          <w:p w:rsidR="00136A50" w:rsidRPr="00136A50" w:rsidRDefault="00136A50" w:rsidP="00E32BD2">
            <w:pPr>
              <w:rPr>
                <w:rFonts w:cs="Frutiger LT 57 Cn"/>
                <w:sz w:val="20"/>
                <w:szCs w:val="20"/>
                <w:lang w:val="en-US"/>
              </w:rPr>
            </w:pPr>
            <w:r w:rsidRPr="00136A50">
              <w:rPr>
                <w:sz w:val="20"/>
                <w:szCs w:val="20"/>
              </w:rPr>
              <w:t>97.7 (129/132)</w:t>
            </w:r>
          </w:p>
        </w:tc>
        <w:tc>
          <w:tcPr>
            <w:tcW w:w="1541" w:type="dxa"/>
          </w:tcPr>
          <w:p w:rsidR="00136A50" w:rsidRPr="00136A50" w:rsidRDefault="00136A50" w:rsidP="00E32BD2">
            <w:pPr>
              <w:rPr>
                <w:rFonts w:cs="Frutiger LT 57 Cn"/>
                <w:sz w:val="20"/>
                <w:szCs w:val="20"/>
                <w:lang w:val="en-US"/>
              </w:rPr>
            </w:pPr>
            <w:r w:rsidRPr="00136A50">
              <w:rPr>
                <w:sz w:val="20"/>
                <w:szCs w:val="20"/>
              </w:rPr>
              <w:t>89.8 (115/128)</w:t>
            </w:r>
          </w:p>
        </w:tc>
        <w:tc>
          <w:tcPr>
            <w:tcW w:w="1541" w:type="dxa"/>
          </w:tcPr>
          <w:p w:rsidR="00136A50" w:rsidRPr="00136A50" w:rsidRDefault="00136A50" w:rsidP="00E32BD2">
            <w:pPr>
              <w:rPr>
                <w:rFonts w:cs="Frutiger LT 57 Cn"/>
                <w:sz w:val="20"/>
                <w:szCs w:val="20"/>
                <w:lang w:val="en-US"/>
              </w:rPr>
            </w:pPr>
          </w:p>
        </w:tc>
      </w:tr>
      <w:tr w:rsidR="00136A50" w:rsidRPr="00136A50" w:rsidTr="00E32BD2">
        <w:tc>
          <w:tcPr>
            <w:tcW w:w="2566" w:type="dxa"/>
          </w:tcPr>
          <w:p w:rsidR="00136A50" w:rsidRPr="00136A50" w:rsidRDefault="00136A50" w:rsidP="00E32BD2">
            <w:pPr>
              <w:rPr>
                <w:rFonts w:cs="Frutiger LT 57 Cn"/>
                <w:sz w:val="20"/>
                <w:szCs w:val="20"/>
                <w:lang w:val="en-US"/>
              </w:rPr>
            </w:pPr>
            <w:r w:rsidRPr="00136A50">
              <w:rPr>
                <w:rFonts w:cs="Frutiger LT 57 Cn"/>
                <w:sz w:val="20"/>
                <w:szCs w:val="20"/>
                <w:lang w:val="en-US"/>
              </w:rPr>
              <w:t>Seroconversion by 18 weeks, n (%)</w:t>
            </w:r>
          </w:p>
        </w:tc>
        <w:tc>
          <w:tcPr>
            <w:tcW w:w="1540" w:type="dxa"/>
          </w:tcPr>
          <w:p w:rsidR="00136A50" w:rsidRPr="00136A50" w:rsidRDefault="00136A50" w:rsidP="00E32BD2">
            <w:pPr>
              <w:rPr>
                <w:rFonts w:cs="Frutiger LT 57 Cn"/>
                <w:sz w:val="20"/>
                <w:szCs w:val="20"/>
                <w:lang w:val="en-US"/>
              </w:rPr>
            </w:pPr>
            <w:r w:rsidRPr="00136A50">
              <w:rPr>
                <w:sz w:val="20"/>
                <w:szCs w:val="20"/>
              </w:rPr>
              <w:t xml:space="preserve">94.6 (192/203) </w:t>
            </w:r>
          </w:p>
        </w:tc>
        <w:tc>
          <w:tcPr>
            <w:tcW w:w="1540" w:type="dxa"/>
          </w:tcPr>
          <w:p w:rsidR="00136A50" w:rsidRPr="00136A50" w:rsidRDefault="00136A50" w:rsidP="00E32BD2">
            <w:pPr>
              <w:rPr>
                <w:rFonts w:cs="Frutiger LT 57 Cn"/>
                <w:sz w:val="20"/>
                <w:szCs w:val="20"/>
                <w:lang w:val="en-US"/>
              </w:rPr>
            </w:pPr>
            <w:r w:rsidRPr="00136A50">
              <w:rPr>
                <w:sz w:val="20"/>
                <w:szCs w:val="20"/>
              </w:rPr>
              <w:t xml:space="preserve">94.0 (188/200) </w:t>
            </w:r>
          </w:p>
        </w:tc>
        <w:tc>
          <w:tcPr>
            <w:tcW w:w="1540" w:type="dxa"/>
          </w:tcPr>
          <w:p w:rsidR="00136A50" w:rsidRPr="00136A50" w:rsidRDefault="00136A50" w:rsidP="00E32BD2">
            <w:pPr>
              <w:rPr>
                <w:rFonts w:cs="Frutiger LT 57 Cn"/>
                <w:sz w:val="20"/>
                <w:szCs w:val="20"/>
                <w:lang w:val="en-US"/>
              </w:rPr>
            </w:pPr>
            <w:r w:rsidRPr="00136A50">
              <w:rPr>
                <w:sz w:val="20"/>
                <w:szCs w:val="20"/>
              </w:rPr>
              <w:t xml:space="preserve">97.4 (152/156) </w:t>
            </w:r>
          </w:p>
        </w:tc>
        <w:tc>
          <w:tcPr>
            <w:tcW w:w="1541" w:type="dxa"/>
          </w:tcPr>
          <w:p w:rsidR="00136A50" w:rsidRPr="00136A50" w:rsidRDefault="00136A50" w:rsidP="00E32BD2">
            <w:pPr>
              <w:rPr>
                <w:rFonts w:cs="Frutiger LT 57 Cn"/>
                <w:sz w:val="20"/>
                <w:szCs w:val="20"/>
                <w:lang w:val="en-US"/>
              </w:rPr>
            </w:pPr>
            <w:r w:rsidRPr="00136A50">
              <w:rPr>
                <w:sz w:val="20"/>
                <w:szCs w:val="20"/>
              </w:rPr>
              <w:t xml:space="preserve">88.8 (135/152)  </w:t>
            </w:r>
          </w:p>
        </w:tc>
        <w:tc>
          <w:tcPr>
            <w:tcW w:w="1541" w:type="dxa"/>
          </w:tcPr>
          <w:p w:rsidR="00136A50" w:rsidRPr="00136A50" w:rsidRDefault="00136A50" w:rsidP="00E32BD2">
            <w:pPr>
              <w:rPr>
                <w:rFonts w:cs="Frutiger LT 57 Cn"/>
                <w:sz w:val="20"/>
                <w:szCs w:val="20"/>
                <w:lang w:val="en-US"/>
              </w:rPr>
            </w:pPr>
            <w:r w:rsidRPr="00136A50">
              <w:rPr>
                <w:sz w:val="20"/>
                <w:szCs w:val="20"/>
              </w:rPr>
              <w:t xml:space="preserve">93.8 (198/211) </w:t>
            </w:r>
          </w:p>
        </w:tc>
      </w:tr>
    </w:tbl>
    <w:p w:rsidR="00136A50" w:rsidRPr="00136A50" w:rsidRDefault="00136A50" w:rsidP="00136A50">
      <w:pPr>
        <w:spacing w:after="0"/>
        <w:rPr>
          <w:rFonts w:cs="Frutiger LT 57 Cn"/>
          <w:b/>
          <w:bCs/>
          <w:sz w:val="20"/>
          <w:szCs w:val="20"/>
          <w:lang w:val="en-US"/>
        </w:rPr>
      </w:pPr>
    </w:p>
    <w:p w:rsidR="00136A50" w:rsidRPr="00136A50" w:rsidRDefault="00136A50" w:rsidP="00136A50">
      <w:pPr>
        <w:spacing w:after="0"/>
        <w:rPr>
          <w:rFonts w:cs="Frutiger LT 57 Cn"/>
          <w:b/>
          <w:bCs/>
          <w:sz w:val="20"/>
          <w:szCs w:val="20"/>
          <w:lang w:val="en-US"/>
        </w:rPr>
      </w:pPr>
    </w:p>
    <w:p w:rsidR="00136A50" w:rsidRPr="00136A50" w:rsidRDefault="00136A50">
      <w:pPr>
        <w:rPr>
          <w:sz w:val="20"/>
          <w:szCs w:val="20"/>
        </w:rPr>
      </w:pPr>
      <w:bookmarkStart w:id="0" w:name="_GoBack"/>
      <w:bookmarkEnd w:id="0"/>
    </w:p>
    <w:sectPr w:rsidR="00136A50" w:rsidRPr="00136A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Frutiger LT 57 Cn">
    <w:altName w:val="Arial"/>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91"/>
    <w:rsid w:val="00136A50"/>
    <w:rsid w:val="00460798"/>
    <w:rsid w:val="00793591"/>
    <w:rsid w:val="009B0D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unhideWhenUsed/>
    <w:qFormat/>
    <w:rsid w:val="0079359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93591"/>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7935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93591"/>
  </w:style>
  <w:style w:type="table" w:styleId="TableGrid">
    <w:name w:val="Table Grid"/>
    <w:basedOn w:val="TableNormal"/>
    <w:uiPriority w:val="59"/>
    <w:rsid w:val="007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93591"/>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rsid w:val="00793591"/>
    <w:rPr>
      <w:rFonts w:eastAsiaTheme="minorHAnsi"/>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unhideWhenUsed/>
    <w:qFormat/>
    <w:rsid w:val="0079359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93591"/>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7935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93591"/>
  </w:style>
  <w:style w:type="table" w:styleId="TableGrid">
    <w:name w:val="Table Grid"/>
    <w:basedOn w:val="TableNormal"/>
    <w:uiPriority w:val="59"/>
    <w:rsid w:val="0079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93591"/>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rsid w:val="00793591"/>
    <w:rPr>
      <w:rFonts w:eastAsiaTheme="minorHAns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1340</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WHO</Company>
  <LinksUpToDate>false</LinksUpToDate>
  <CharactersWithSpaces>8962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MACKLIN, Grace</dc:creator>
  <cp:lastModifiedBy>MACKLIN, Grace</cp:lastModifiedBy>
  <cp:revision>2</cp:revision>
  <dcterms:created xsi:type="dcterms:W3CDTF">2016-04-26T12:18:00Z</dcterms:created>
  <dcterms:modified xsi:type="dcterms:W3CDTF">2016-04-26T12:20:00Z</dcterms:modified>
</cp:coreProperties>
</file>